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1A63" w14:textId="77777777" w:rsidR="00086C07" w:rsidRDefault="00086C07" w:rsidP="00086C07">
      <w:pPr>
        <w:pStyle w:val="Headinglevelone"/>
        <w:spacing w:before="120"/>
        <w:rPr>
          <w:lang w:val="en-GB"/>
        </w:rPr>
      </w:pPr>
    </w:p>
    <w:p w14:paraId="68B7FC1D" w14:textId="468C64EC" w:rsidR="00086C07" w:rsidRPr="0076466F" w:rsidRDefault="00517182" w:rsidP="0076466F">
      <w:pPr>
        <w:pStyle w:val="Title"/>
        <w:jc w:val="center"/>
      </w:pPr>
      <w:r>
        <w:t>Kent Community Health NHS Foundation Trust</w:t>
      </w:r>
    </w:p>
    <w:p w14:paraId="754FCE8E" w14:textId="165D1E21" w:rsidR="00086C07" w:rsidRPr="00F44FF5" w:rsidRDefault="00672C39" w:rsidP="0076466F">
      <w:pPr>
        <w:pStyle w:val="Heading1"/>
        <w:jc w:val="center"/>
      </w:pPr>
      <w:bookmarkStart w:id="0" w:name="_Hlk109373713"/>
      <w:r>
        <w:t xml:space="preserve">Pilot: To </w:t>
      </w:r>
      <w:r w:rsidR="00D10E9C">
        <w:t xml:space="preserve">introduce a sustainable stock of </w:t>
      </w:r>
      <w:r>
        <w:t>elbow crutches</w:t>
      </w:r>
      <w:r w:rsidR="00D10E9C">
        <w:t xml:space="preserve"> that reduced waiting times for patients. </w:t>
      </w:r>
    </w:p>
    <w:bookmarkEnd w:id="0"/>
    <w:p w14:paraId="25DB8626" w14:textId="71B62483" w:rsidR="00C062D0" w:rsidRDefault="00C062D0" w:rsidP="00C062D0">
      <w:pPr>
        <w:pStyle w:val="Subtitle"/>
      </w:pPr>
    </w:p>
    <w:p w14:paraId="3229F53B" w14:textId="77777777" w:rsidR="00C062D0" w:rsidRPr="00C062D0" w:rsidRDefault="00C062D0" w:rsidP="00C062D0"/>
    <w:p w14:paraId="4086C186" w14:textId="77777777" w:rsidR="00953729" w:rsidRDefault="00086C07" w:rsidP="00953729">
      <w:pPr>
        <w:pStyle w:val="Heading2"/>
      </w:pPr>
      <w:bookmarkStart w:id="1" w:name="_Hlk109314001"/>
      <w:r w:rsidRPr="00094E3F">
        <w:t xml:space="preserve">Topic Area </w:t>
      </w:r>
      <w:bookmarkEnd w:id="1"/>
    </w:p>
    <w:p w14:paraId="1F005F04" w14:textId="40E87103" w:rsidR="00086C07" w:rsidRDefault="00086C07" w:rsidP="00953729">
      <w:pPr>
        <w:pStyle w:val="Heading2"/>
        <w:rPr>
          <w:rStyle w:val="Strong"/>
          <w:rFonts w:cstheme="majorHAnsi"/>
          <w:b w:val="0"/>
          <w:bCs w:val="0"/>
          <w:color w:val="auto"/>
          <w:sz w:val="22"/>
          <w:szCs w:val="22"/>
          <w:lang w:val="en-US"/>
        </w:rPr>
      </w:pPr>
      <w:r w:rsidRPr="00953729">
        <w:rPr>
          <w:rStyle w:val="Strong"/>
          <w:rFonts w:cstheme="majorHAnsi"/>
          <w:b w:val="0"/>
          <w:bCs w:val="0"/>
          <w:color w:val="auto"/>
          <w:sz w:val="22"/>
          <w:szCs w:val="22"/>
          <w:lang w:val="en-US"/>
        </w:rPr>
        <w:t xml:space="preserve">Please </w:t>
      </w:r>
      <w:bookmarkStart w:id="2" w:name="_Hlk109313816"/>
      <w:r w:rsidRPr="00953729">
        <w:rPr>
          <w:rStyle w:val="Strong"/>
          <w:rFonts w:cstheme="majorHAnsi"/>
          <w:b w:val="0"/>
          <w:bCs w:val="0"/>
          <w:color w:val="auto"/>
          <w:sz w:val="22"/>
          <w:szCs w:val="22"/>
          <w:lang w:val="en-US"/>
        </w:rPr>
        <w:t xml:space="preserve">identify </w:t>
      </w:r>
      <w:r w:rsidR="009E3E90" w:rsidRPr="00953729">
        <w:rPr>
          <w:rStyle w:val="Strong"/>
          <w:rFonts w:cstheme="majorHAnsi"/>
          <w:b w:val="0"/>
          <w:bCs w:val="0"/>
          <w:color w:val="auto"/>
          <w:sz w:val="22"/>
          <w:szCs w:val="22"/>
          <w:lang w:val="en-US"/>
        </w:rPr>
        <w:t>(</w:t>
      </w:r>
      <w:r w:rsidRPr="00953729">
        <w:rPr>
          <w:rStyle w:val="Strong"/>
          <w:rFonts w:cstheme="majorHAnsi"/>
          <w:b w:val="0"/>
          <w:bCs w:val="0"/>
          <w:color w:val="auto"/>
          <w:sz w:val="22"/>
          <w:szCs w:val="22"/>
          <w:lang w:val="en-US"/>
        </w:rPr>
        <w:t>more than one option may be selected</w:t>
      </w:r>
      <w:bookmarkEnd w:id="2"/>
      <w:r w:rsidR="009E3E90" w:rsidRPr="00953729">
        <w:rPr>
          <w:rStyle w:val="Strong"/>
          <w:rFonts w:cstheme="majorHAnsi"/>
          <w:b w:val="0"/>
          <w:bCs w:val="0"/>
          <w:color w:val="auto"/>
          <w:sz w:val="22"/>
          <w:szCs w:val="22"/>
          <w:lang w:val="en-US"/>
        </w:rPr>
        <w:t>)</w:t>
      </w:r>
    </w:p>
    <w:p w14:paraId="304458E2" w14:textId="77777777" w:rsidR="00953729" w:rsidRPr="00953729" w:rsidRDefault="00953729" w:rsidP="00953729">
      <w:pPr>
        <w:rPr>
          <w:sz w:val="2"/>
          <w:szCs w:val="2"/>
          <w:lang w:val="en-US"/>
        </w:rPr>
      </w:pPr>
    </w:p>
    <w:tbl>
      <w:tblPr>
        <w:tblStyle w:val="TableGrid"/>
        <w:tblW w:w="9781" w:type="dxa"/>
        <w:jc w:val="center"/>
        <w:tblLayout w:type="fixed"/>
        <w:tblLook w:val="04A0" w:firstRow="1" w:lastRow="0" w:firstColumn="1" w:lastColumn="0" w:noHBand="0" w:noVBand="1"/>
      </w:tblPr>
      <w:tblGrid>
        <w:gridCol w:w="1985"/>
        <w:gridCol w:w="428"/>
        <w:gridCol w:w="1982"/>
        <w:gridCol w:w="427"/>
        <w:gridCol w:w="1982"/>
        <w:gridCol w:w="426"/>
        <w:gridCol w:w="2126"/>
        <w:gridCol w:w="425"/>
      </w:tblGrid>
      <w:tr w:rsidR="00953729" w14:paraId="7CE9CD59" w14:textId="77777777" w:rsidTr="00953729">
        <w:trPr>
          <w:trHeight w:val="337"/>
          <w:jc w:val="center"/>
        </w:trPr>
        <w:tc>
          <w:tcPr>
            <w:tcW w:w="1985" w:type="dxa"/>
            <w:tcBorders>
              <w:right w:val="nil"/>
            </w:tcBorders>
            <w:shd w:val="clear" w:color="auto" w:fill="E5EAEF"/>
            <w:vAlign w:val="center"/>
          </w:tcPr>
          <w:p w14:paraId="6C49E68E" w14:textId="77777777"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A</w:t>
            </w:r>
            <w:r w:rsidRPr="00607DC1">
              <w:rPr>
                <w:color w:val="auto"/>
                <w:sz w:val="20"/>
                <w:szCs w:val="20"/>
              </w:rPr>
              <w:t>daptation</w:t>
            </w:r>
          </w:p>
        </w:tc>
        <w:sdt>
          <w:sdtPr>
            <w:rPr>
              <w:color w:val="auto"/>
              <w:sz w:val="22"/>
              <w:szCs w:val="22"/>
              <w:lang w:val="en-GB"/>
            </w:rPr>
            <w:id w:val="-1178572398"/>
            <w14:checkbox>
              <w14:checked w14:val="0"/>
              <w14:checkedState w14:val="2612" w14:font="MS Gothic"/>
              <w14:uncheckedState w14:val="2610" w14:font="MS Gothic"/>
            </w14:checkbox>
          </w:sdtPr>
          <w:sdtEndPr/>
          <w:sdtContent>
            <w:tc>
              <w:tcPr>
                <w:tcW w:w="428" w:type="dxa"/>
                <w:tcBorders>
                  <w:left w:val="nil"/>
                  <w:bottom w:val="single" w:sz="4" w:space="0" w:color="auto"/>
                </w:tcBorders>
                <w:shd w:val="clear" w:color="auto" w:fill="E5EAEF"/>
                <w:vAlign w:val="center"/>
              </w:tcPr>
              <w:p w14:paraId="6A1EC813"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39EE6FB9" w14:textId="77777777"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C</w:t>
            </w:r>
            <w:r w:rsidRPr="00607DC1">
              <w:rPr>
                <w:color w:val="auto"/>
                <w:sz w:val="20"/>
                <w:szCs w:val="20"/>
              </w:rPr>
              <w:t>omm</w:t>
            </w:r>
            <w:r>
              <w:rPr>
                <w:color w:val="auto"/>
                <w:sz w:val="20"/>
                <w:szCs w:val="20"/>
              </w:rPr>
              <w:t>unication</w:t>
            </w:r>
            <w:r w:rsidRPr="00607DC1">
              <w:rPr>
                <w:color w:val="auto"/>
                <w:sz w:val="20"/>
                <w:szCs w:val="20"/>
              </w:rPr>
              <w:t>s and engagement</w:t>
            </w:r>
            <w:r w:rsidRPr="00607DC1">
              <w:rPr>
                <w:color w:val="auto"/>
                <w:sz w:val="20"/>
                <w:szCs w:val="20"/>
                <w:lang w:val="en-GB"/>
              </w:rPr>
              <w:t xml:space="preserve"> </w:t>
            </w:r>
          </w:p>
        </w:tc>
        <w:sdt>
          <w:sdtPr>
            <w:rPr>
              <w:color w:val="auto"/>
              <w:sz w:val="22"/>
              <w:szCs w:val="22"/>
              <w:lang w:val="en-GB"/>
            </w:rPr>
            <w:id w:val="1162738064"/>
            <w14:checkbox>
              <w14:checked w14:val="0"/>
              <w14:checkedState w14:val="2612" w14:font="MS Gothic"/>
              <w14:uncheckedState w14:val="2610" w14:font="MS Gothic"/>
            </w14:checkbox>
          </w:sdtPr>
          <w:sdtEndPr/>
          <w:sdtContent>
            <w:tc>
              <w:tcPr>
                <w:tcW w:w="427" w:type="dxa"/>
                <w:tcBorders>
                  <w:left w:val="nil"/>
                </w:tcBorders>
                <w:shd w:val="clear" w:color="auto" w:fill="E5EAEF"/>
                <w:vAlign w:val="center"/>
              </w:tcPr>
              <w:p w14:paraId="0B40D87D"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51BDE370" w14:textId="5190D23A" w:rsidR="00086C07" w:rsidRPr="00607DC1" w:rsidRDefault="00086C07" w:rsidP="00C76E90">
            <w:pPr>
              <w:pStyle w:val="Headinglevelthree"/>
              <w:tabs>
                <w:tab w:val="center" w:pos="1514"/>
              </w:tabs>
              <w:spacing w:after="0"/>
              <w:rPr>
                <w:color w:val="auto"/>
                <w:sz w:val="20"/>
                <w:szCs w:val="20"/>
                <w:lang w:val="en-GB"/>
              </w:rPr>
            </w:pPr>
            <w:r w:rsidRPr="00607DC1">
              <w:rPr>
                <w:color w:val="auto"/>
                <w:sz w:val="20"/>
                <w:szCs w:val="20"/>
                <w:lang w:val="en-GB"/>
              </w:rPr>
              <w:t>Estates and facilities</w:t>
            </w:r>
            <w:r>
              <w:rPr>
                <w:color w:val="auto"/>
                <w:sz w:val="20"/>
                <w:szCs w:val="20"/>
                <w:lang w:val="en-GB"/>
              </w:rPr>
              <w:t xml:space="preserve"> (energy, waste,</w:t>
            </w:r>
            <w:r w:rsidR="0076466F">
              <w:rPr>
                <w:color w:val="auto"/>
                <w:sz w:val="20"/>
                <w:szCs w:val="20"/>
                <w:lang w:val="en-GB"/>
              </w:rPr>
              <w:t xml:space="preserve"> </w:t>
            </w:r>
            <w:r>
              <w:rPr>
                <w:color w:val="auto"/>
                <w:sz w:val="20"/>
                <w:szCs w:val="20"/>
                <w:lang w:val="en-GB"/>
              </w:rPr>
              <w:t>water)</w:t>
            </w:r>
          </w:p>
        </w:tc>
        <w:sdt>
          <w:sdtPr>
            <w:rPr>
              <w:color w:val="auto"/>
              <w:sz w:val="22"/>
              <w:szCs w:val="22"/>
              <w:lang w:val="en-GB"/>
            </w:rPr>
            <w:id w:val="1939952802"/>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7CCB2A15" w14:textId="77777777" w:rsidR="00086C07" w:rsidRPr="006E63EE" w:rsidRDefault="00086C07" w:rsidP="00C76E90">
                <w:pPr>
                  <w:pStyle w:val="Headinglevelthree"/>
                  <w:tabs>
                    <w:tab w:val="center" w:pos="1514"/>
                  </w:tabs>
                  <w:spacing w:after="0"/>
                  <w:rPr>
                    <w:color w:val="auto"/>
                    <w:sz w:val="22"/>
                    <w:szCs w:val="22"/>
                    <w:lang w:val="en-GB"/>
                  </w:rPr>
                </w:pPr>
                <w:r>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191A6523"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Food, catering </w:t>
            </w:r>
          </w:p>
          <w:p w14:paraId="24A6ACC9"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and nutrition </w:t>
            </w:r>
          </w:p>
        </w:tc>
        <w:sdt>
          <w:sdtPr>
            <w:rPr>
              <w:color w:val="auto"/>
              <w:sz w:val="22"/>
              <w:szCs w:val="22"/>
              <w:lang w:val="en-GB"/>
            </w:rPr>
            <w:id w:val="736742140"/>
            <w14:checkbox>
              <w14:checked w14:val="0"/>
              <w14:checkedState w14:val="2612" w14:font="MS Gothic"/>
              <w14:uncheckedState w14:val="2610" w14:font="MS Gothic"/>
            </w14:checkbox>
          </w:sdtPr>
          <w:sdtEndPr/>
          <w:sdtContent>
            <w:tc>
              <w:tcPr>
                <w:tcW w:w="425" w:type="dxa"/>
                <w:tcBorders>
                  <w:left w:val="nil"/>
                </w:tcBorders>
                <w:shd w:val="clear" w:color="auto" w:fill="E5EAEF"/>
                <w:vAlign w:val="center"/>
              </w:tcPr>
              <w:p w14:paraId="293F4FEC" w14:textId="77777777" w:rsidR="00086C07" w:rsidRPr="006E63EE"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tr w:rsidR="00953729" w14:paraId="3C75F20B" w14:textId="77777777" w:rsidTr="00953729">
        <w:trPr>
          <w:trHeight w:val="337"/>
          <w:jc w:val="center"/>
        </w:trPr>
        <w:tc>
          <w:tcPr>
            <w:tcW w:w="1985" w:type="dxa"/>
            <w:tcBorders>
              <w:right w:val="nil"/>
            </w:tcBorders>
            <w:shd w:val="clear" w:color="auto" w:fill="E5EAEF"/>
            <w:vAlign w:val="center"/>
          </w:tcPr>
          <w:p w14:paraId="3077CD83"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Funding and </w:t>
            </w:r>
          </w:p>
          <w:p w14:paraId="7F13EFEE"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financial mechanisms </w:t>
            </w:r>
          </w:p>
        </w:tc>
        <w:sdt>
          <w:sdtPr>
            <w:rPr>
              <w:color w:val="auto"/>
              <w:sz w:val="22"/>
              <w:szCs w:val="22"/>
              <w:lang w:val="en-GB"/>
            </w:rPr>
            <w:id w:val="1683465612"/>
            <w14:checkbox>
              <w14:checked w14:val="0"/>
              <w14:checkedState w14:val="2612" w14:font="MS Gothic"/>
              <w14:uncheckedState w14:val="2610" w14:font="MS Gothic"/>
            </w14:checkbox>
          </w:sdtPr>
          <w:sdtEndPr/>
          <w:sdtContent>
            <w:tc>
              <w:tcPr>
                <w:tcW w:w="428" w:type="dxa"/>
                <w:tcBorders>
                  <w:left w:val="nil"/>
                </w:tcBorders>
                <w:shd w:val="clear" w:color="auto" w:fill="E5EAEF"/>
                <w:vAlign w:val="center"/>
              </w:tcPr>
              <w:p w14:paraId="3AE87965"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0385DBF5"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Medicines</w:t>
            </w:r>
          </w:p>
        </w:tc>
        <w:sdt>
          <w:sdtPr>
            <w:rPr>
              <w:color w:val="auto"/>
              <w:sz w:val="22"/>
              <w:szCs w:val="22"/>
              <w:lang w:val="en-GB"/>
            </w:rPr>
            <w:id w:val="-1985383529"/>
            <w14:checkbox>
              <w14:checked w14:val="0"/>
              <w14:checkedState w14:val="2612" w14:font="MS Gothic"/>
              <w14:uncheckedState w14:val="2610" w14:font="MS Gothic"/>
            </w14:checkbox>
          </w:sdtPr>
          <w:sdtEndPr/>
          <w:sdtContent>
            <w:tc>
              <w:tcPr>
                <w:tcW w:w="427" w:type="dxa"/>
                <w:tcBorders>
                  <w:left w:val="nil"/>
                </w:tcBorders>
                <w:shd w:val="clear" w:color="auto" w:fill="E5EAEF"/>
                <w:vAlign w:val="center"/>
              </w:tcPr>
              <w:p w14:paraId="4153E553"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4A917825"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Research, innovation and offsetting</w:t>
            </w:r>
          </w:p>
        </w:tc>
        <w:sdt>
          <w:sdtPr>
            <w:rPr>
              <w:color w:val="auto"/>
              <w:sz w:val="22"/>
              <w:szCs w:val="22"/>
              <w:lang w:val="en-GB"/>
            </w:rPr>
            <w:id w:val="-1124922805"/>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49BAF8DC"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24E9EC76"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 xml:space="preserve">Strategic ambition </w:t>
            </w:r>
          </w:p>
        </w:tc>
        <w:sdt>
          <w:sdtPr>
            <w:rPr>
              <w:color w:val="auto"/>
              <w:sz w:val="22"/>
              <w:szCs w:val="22"/>
              <w:lang w:val="en-GB"/>
            </w:rPr>
            <w:id w:val="411595373"/>
            <w14:checkbox>
              <w14:checked w14:val="0"/>
              <w14:checkedState w14:val="2612" w14:font="MS Gothic"/>
              <w14:uncheckedState w14:val="2610" w14:font="MS Gothic"/>
            </w14:checkbox>
          </w:sdtPr>
          <w:sdtEndPr/>
          <w:sdtContent>
            <w:tc>
              <w:tcPr>
                <w:tcW w:w="425" w:type="dxa"/>
                <w:tcBorders>
                  <w:left w:val="nil"/>
                </w:tcBorders>
                <w:shd w:val="clear" w:color="auto" w:fill="E5EAEF"/>
                <w:vAlign w:val="center"/>
              </w:tcPr>
              <w:p w14:paraId="3D212ADB"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r>
      <w:tr w:rsidR="00953729" w14:paraId="76590A0D" w14:textId="77777777" w:rsidTr="00953729">
        <w:trPr>
          <w:trHeight w:val="337"/>
          <w:jc w:val="center"/>
        </w:trPr>
        <w:tc>
          <w:tcPr>
            <w:tcW w:w="1985" w:type="dxa"/>
            <w:tcBorders>
              <w:right w:val="nil"/>
            </w:tcBorders>
            <w:shd w:val="clear" w:color="auto" w:fill="E5EAEF"/>
            <w:vAlign w:val="center"/>
          </w:tcPr>
          <w:p w14:paraId="13D36BB6" w14:textId="77777777" w:rsidR="00086C07" w:rsidRPr="00607DC1" w:rsidRDefault="00086C07" w:rsidP="00C76E90">
            <w:pPr>
              <w:pStyle w:val="Headinglevelthree"/>
              <w:spacing w:after="0"/>
              <w:rPr>
                <w:color w:val="auto"/>
                <w:sz w:val="20"/>
                <w:szCs w:val="20"/>
                <w:lang w:val="en-GB"/>
              </w:rPr>
            </w:pPr>
            <w:bookmarkStart w:id="3" w:name="_Hlk104888476"/>
            <w:r w:rsidRPr="00607DC1">
              <w:rPr>
                <w:color w:val="auto"/>
                <w:sz w:val="20"/>
                <w:szCs w:val="20"/>
                <w:lang w:val="en-GB"/>
              </w:rPr>
              <w:t>Supply chain</w:t>
            </w:r>
            <w:r>
              <w:rPr>
                <w:color w:val="auto"/>
                <w:sz w:val="20"/>
                <w:szCs w:val="20"/>
                <w:lang w:val="en-GB"/>
              </w:rPr>
              <w:t xml:space="preserve"> and procurement</w:t>
            </w:r>
          </w:p>
        </w:tc>
        <w:sdt>
          <w:sdtPr>
            <w:rPr>
              <w:color w:val="auto"/>
              <w:sz w:val="22"/>
              <w:szCs w:val="22"/>
              <w:lang w:val="en-GB"/>
            </w:rPr>
            <w:id w:val="1184554173"/>
            <w14:checkbox>
              <w14:checked w14:val="1"/>
              <w14:checkedState w14:val="2612" w14:font="MS Gothic"/>
              <w14:uncheckedState w14:val="2610" w14:font="MS Gothic"/>
            </w14:checkbox>
          </w:sdtPr>
          <w:sdtEndPr/>
          <w:sdtContent>
            <w:tc>
              <w:tcPr>
                <w:tcW w:w="428" w:type="dxa"/>
                <w:tcBorders>
                  <w:left w:val="nil"/>
                </w:tcBorders>
                <w:shd w:val="clear" w:color="auto" w:fill="E5EAEF"/>
                <w:vAlign w:val="center"/>
              </w:tcPr>
              <w:p w14:paraId="30D7E52F" w14:textId="235B0FB1" w:rsidR="00086C07" w:rsidRPr="006E63EE" w:rsidRDefault="00FD3094"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657FFB29" w14:textId="77777777" w:rsidR="00086C07" w:rsidRDefault="00086C07" w:rsidP="00C76E90">
            <w:pPr>
              <w:pStyle w:val="Headinglevelthree"/>
              <w:spacing w:after="0"/>
              <w:rPr>
                <w:color w:val="auto"/>
                <w:sz w:val="20"/>
                <w:szCs w:val="20"/>
                <w:lang w:val="en-GB"/>
              </w:rPr>
            </w:pPr>
            <w:r w:rsidRPr="00607DC1">
              <w:rPr>
                <w:color w:val="auto"/>
                <w:sz w:val="20"/>
                <w:szCs w:val="20"/>
                <w:lang w:val="en-GB"/>
              </w:rPr>
              <w:t xml:space="preserve">Sustainable </w:t>
            </w:r>
          </w:p>
          <w:p w14:paraId="79D351D9"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models of care</w:t>
            </w:r>
          </w:p>
        </w:tc>
        <w:sdt>
          <w:sdtPr>
            <w:rPr>
              <w:color w:val="auto"/>
              <w:sz w:val="22"/>
              <w:szCs w:val="22"/>
              <w:lang w:val="en-GB"/>
            </w:rPr>
            <w:id w:val="289634679"/>
            <w14:checkbox>
              <w14:checked w14:val="1"/>
              <w14:checkedState w14:val="2612" w14:font="MS Gothic"/>
              <w14:uncheckedState w14:val="2610" w14:font="MS Gothic"/>
            </w14:checkbox>
          </w:sdtPr>
          <w:sdtEndPr/>
          <w:sdtContent>
            <w:tc>
              <w:tcPr>
                <w:tcW w:w="427" w:type="dxa"/>
                <w:tcBorders>
                  <w:left w:val="nil"/>
                </w:tcBorders>
                <w:shd w:val="clear" w:color="auto" w:fill="E5EAEF"/>
                <w:vAlign w:val="center"/>
              </w:tcPr>
              <w:p w14:paraId="3AF7D8A2" w14:textId="3B01F33D" w:rsidR="00086C07" w:rsidRPr="006E63EE" w:rsidRDefault="00B46BB0"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shd w:val="clear" w:color="auto" w:fill="E5EAEF"/>
            <w:vAlign w:val="center"/>
          </w:tcPr>
          <w:p w14:paraId="513EA0C8"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Travel and transport</w:t>
            </w:r>
          </w:p>
        </w:tc>
        <w:sdt>
          <w:sdtPr>
            <w:rPr>
              <w:color w:val="auto"/>
              <w:sz w:val="22"/>
              <w:szCs w:val="22"/>
              <w:lang w:val="en-GB"/>
            </w:rPr>
            <w:id w:val="849764594"/>
            <w14:checkbox>
              <w14:checked w14:val="0"/>
              <w14:checkedState w14:val="2612" w14:font="MS Gothic"/>
              <w14:uncheckedState w14:val="2610" w14:font="MS Gothic"/>
            </w14:checkbox>
          </w:sdtPr>
          <w:sdtEndPr/>
          <w:sdtContent>
            <w:tc>
              <w:tcPr>
                <w:tcW w:w="426" w:type="dxa"/>
                <w:tcBorders>
                  <w:left w:val="nil"/>
                </w:tcBorders>
                <w:shd w:val="clear" w:color="auto" w:fill="E5EAEF"/>
                <w:vAlign w:val="center"/>
              </w:tcPr>
              <w:p w14:paraId="6AAB0201" w14:textId="77777777" w:rsidR="00086C07" w:rsidRPr="006E63EE" w:rsidRDefault="00086C07" w:rsidP="00C76E90">
                <w:pPr>
                  <w:pStyle w:val="Headinglevelthree"/>
                  <w:spacing w:after="0"/>
                  <w:rPr>
                    <w:color w:val="auto"/>
                    <w:sz w:val="22"/>
                    <w:szCs w:val="22"/>
                    <w:lang w:val="en-GB"/>
                  </w:rPr>
                </w:pPr>
                <w:r w:rsidRPr="006E63EE">
                  <w:rPr>
                    <w:rFonts w:ascii="MS Gothic" w:eastAsia="MS Gothic" w:hAnsi="MS Gothic" w:hint="eastAsia"/>
                    <w:color w:val="auto"/>
                    <w:sz w:val="22"/>
                    <w:szCs w:val="22"/>
                    <w:lang w:val="en-GB"/>
                  </w:rPr>
                  <w:t>☐</w:t>
                </w:r>
              </w:p>
            </w:tc>
          </w:sdtContent>
        </w:sdt>
        <w:tc>
          <w:tcPr>
            <w:tcW w:w="2126" w:type="dxa"/>
            <w:tcBorders>
              <w:right w:val="nil"/>
            </w:tcBorders>
            <w:shd w:val="clear" w:color="auto" w:fill="E5EAEF"/>
            <w:vAlign w:val="center"/>
          </w:tcPr>
          <w:p w14:paraId="3D78C90A" w14:textId="77777777" w:rsidR="00086C07" w:rsidRPr="00607DC1" w:rsidRDefault="00086C07" w:rsidP="00C76E90">
            <w:pPr>
              <w:pStyle w:val="Headinglevelthree"/>
              <w:spacing w:after="0"/>
              <w:rPr>
                <w:color w:val="auto"/>
                <w:sz w:val="20"/>
                <w:szCs w:val="20"/>
                <w:lang w:val="en-GB"/>
              </w:rPr>
            </w:pPr>
            <w:r w:rsidRPr="00607DC1">
              <w:rPr>
                <w:color w:val="auto"/>
                <w:sz w:val="20"/>
                <w:szCs w:val="20"/>
                <w:lang w:val="en-GB"/>
              </w:rPr>
              <w:t>Workforce, networks</w:t>
            </w:r>
            <w:r>
              <w:rPr>
                <w:color w:val="auto"/>
                <w:sz w:val="20"/>
                <w:szCs w:val="20"/>
                <w:lang w:val="en-GB"/>
              </w:rPr>
              <w:t xml:space="preserve"> and </w:t>
            </w:r>
            <w:r w:rsidRPr="00607DC1">
              <w:rPr>
                <w:color w:val="auto"/>
                <w:sz w:val="20"/>
                <w:szCs w:val="20"/>
                <w:lang w:val="en-GB"/>
              </w:rPr>
              <w:t>system leadership</w:t>
            </w:r>
          </w:p>
        </w:tc>
        <w:sdt>
          <w:sdtPr>
            <w:rPr>
              <w:color w:val="auto"/>
              <w:sz w:val="22"/>
              <w:szCs w:val="22"/>
              <w:lang w:val="en-GB"/>
            </w:rPr>
            <w:id w:val="2131899052"/>
            <w14:checkbox>
              <w14:checked w14:val="0"/>
              <w14:checkedState w14:val="2612" w14:font="MS Gothic"/>
              <w14:uncheckedState w14:val="2610" w14:font="MS Gothic"/>
            </w14:checkbox>
          </w:sdtPr>
          <w:sdtEndPr/>
          <w:sdtContent>
            <w:tc>
              <w:tcPr>
                <w:tcW w:w="425" w:type="dxa"/>
                <w:tcBorders>
                  <w:left w:val="nil"/>
                </w:tcBorders>
                <w:shd w:val="clear" w:color="auto" w:fill="E5EAEF"/>
                <w:vAlign w:val="center"/>
              </w:tcPr>
              <w:p w14:paraId="5DC554F4" w14:textId="77777777" w:rsidR="00086C07" w:rsidRPr="006E63EE"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r>
      <w:bookmarkEnd w:id="3"/>
      <w:tr w:rsidR="00086C07" w14:paraId="65C21788" w14:textId="77777777" w:rsidTr="00953729">
        <w:trPr>
          <w:trHeight w:val="337"/>
          <w:jc w:val="center"/>
        </w:trPr>
        <w:tc>
          <w:tcPr>
            <w:tcW w:w="1985" w:type="dxa"/>
            <w:tcBorders>
              <w:right w:val="nil"/>
            </w:tcBorders>
            <w:vAlign w:val="center"/>
          </w:tcPr>
          <w:p w14:paraId="50E386C3"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Green/blue space and biodiversity</w:t>
            </w:r>
          </w:p>
        </w:tc>
        <w:sdt>
          <w:sdtPr>
            <w:rPr>
              <w:color w:val="auto"/>
              <w:sz w:val="22"/>
              <w:szCs w:val="22"/>
              <w:lang w:val="en-GB"/>
            </w:rPr>
            <w:id w:val="-406925187"/>
            <w14:checkbox>
              <w14:checked w14:val="0"/>
              <w14:checkedState w14:val="2612" w14:font="MS Gothic"/>
              <w14:uncheckedState w14:val="2610" w14:font="MS Gothic"/>
            </w14:checkbox>
          </w:sdtPr>
          <w:sdtEndPr/>
          <w:sdtContent>
            <w:tc>
              <w:tcPr>
                <w:tcW w:w="428" w:type="dxa"/>
                <w:tcBorders>
                  <w:left w:val="nil"/>
                </w:tcBorders>
                <w:vAlign w:val="center"/>
              </w:tcPr>
              <w:p w14:paraId="43B5D25D" w14:textId="77777777" w:rsidR="00086C07" w:rsidRDefault="00086C07" w:rsidP="00C76E90">
                <w:pPr>
                  <w:pStyle w:val="Headinglevelthree"/>
                  <w:spacing w:after="0"/>
                  <w:rPr>
                    <w:color w:val="auto"/>
                    <w:sz w:val="22"/>
                    <w:szCs w:val="22"/>
                    <w:lang w:val="en-GB"/>
                  </w:rPr>
                </w:pPr>
                <w:r>
                  <w:rPr>
                    <w:rFonts w:ascii="MS Gothic" w:eastAsia="MS Gothic" w:hAnsi="MS Gothic" w:hint="eastAsia"/>
                    <w:color w:val="auto"/>
                    <w:sz w:val="22"/>
                    <w:szCs w:val="22"/>
                    <w:lang w:val="en-GB"/>
                  </w:rPr>
                  <w:t>☐</w:t>
                </w:r>
              </w:p>
            </w:tc>
          </w:sdtContent>
        </w:sdt>
        <w:tc>
          <w:tcPr>
            <w:tcW w:w="1982" w:type="dxa"/>
            <w:tcBorders>
              <w:right w:val="nil"/>
            </w:tcBorders>
            <w:vAlign w:val="center"/>
          </w:tcPr>
          <w:p w14:paraId="3154065D"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Digital transformation</w:t>
            </w:r>
          </w:p>
        </w:tc>
        <w:tc>
          <w:tcPr>
            <w:tcW w:w="427" w:type="dxa"/>
            <w:tcBorders>
              <w:left w:val="nil"/>
            </w:tcBorders>
            <w:vAlign w:val="center"/>
          </w:tcPr>
          <w:p w14:paraId="7F84E9AF" w14:textId="77777777" w:rsidR="00086C07" w:rsidRDefault="00D10E9C" w:rsidP="00C76E90">
            <w:pPr>
              <w:pStyle w:val="Headinglevelthree"/>
              <w:spacing w:after="0"/>
              <w:rPr>
                <w:color w:val="auto"/>
                <w:sz w:val="22"/>
                <w:szCs w:val="22"/>
                <w:lang w:val="en-GB"/>
              </w:rPr>
            </w:pPr>
            <w:sdt>
              <w:sdtPr>
                <w:rPr>
                  <w:color w:val="auto"/>
                  <w:sz w:val="22"/>
                  <w:szCs w:val="22"/>
                  <w:lang w:val="en-GB"/>
                </w:rPr>
                <w:id w:val="-744033895"/>
                <w14:checkbox>
                  <w14:checked w14:val="0"/>
                  <w14:checkedState w14:val="2612" w14:font="MS Gothic"/>
                  <w14:uncheckedState w14:val="2610" w14:font="MS Gothic"/>
                </w14:checkbox>
              </w:sdtPr>
              <w:sdtEndPr/>
              <w:sdtContent>
                <w:r w:rsidR="00086C07" w:rsidRPr="006E63EE">
                  <w:rPr>
                    <w:rFonts w:ascii="MS Gothic" w:eastAsia="MS Gothic" w:hAnsi="MS Gothic" w:hint="eastAsia"/>
                    <w:color w:val="auto"/>
                    <w:sz w:val="22"/>
                    <w:szCs w:val="22"/>
                    <w:lang w:val="en-GB"/>
                  </w:rPr>
                  <w:t>☐</w:t>
                </w:r>
              </w:sdtContent>
            </w:sdt>
          </w:p>
        </w:tc>
        <w:tc>
          <w:tcPr>
            <w:tcW w:w="1982" w:type="dxa"/>
            <w:tcBorders>
              <w:right w:val="nil"/>
            </w:tcBorders>
            <w:vAlign w:val="center"/>
          </w:tcPr>
          <w:p w14:paraId="2905DEDA" w14:textId="77777777" w:rsidR="00086C07" w:rsidRPr="00607DC1" w:rsidRDefault="00086C07" w:rsidP="00C76E90">
            <w:pPr>
              <w:pStyle w:val="Headinglevelthree"/>
              <w:spacing w:after="0"/>
              <w:rPr>
                <w:color w:val="auto"/>
                <w:sz w:val="20"/>
                <w:szCs w:val="20"/>
                <w:lang w:val="en-GB"/>
              </w:rPr>
            </w:pPr>
            <w:r>
              <w:rPr>
                <w:color w:val="auto"/>
                <w:sz w:val="20"/>
                <w:szCs w:val="20"/>
                <w:lang w:val="en-GB"/>
              </w:rPr>
              <w:t>Sustainability education</w:t>
            </w:r>
          </w:p>
        </w:tc>
        <w:tc>
          <w:tcPr>
            <w:tcW w:w="426" w:type="dxa"/>
            <w:tcBorders>
              <w:left w:val="nil"/>
            </w:tcBorders>
            <w:vAlign w:val="center"/>
          </w:tcPr>
          <w:p w14:paraId="614329D5" w14:textId="77777777" w:rsidR="00086C07" w:rsidRDefault="00D10E9C" w:rsidP="00C76E90">
            <w:pPr>
              <w:pStyle w:val="Headinglevelthree"/>
              <w:spacing w:after="0"/>
              <w:rPr>
                <w:color w:val="auto"/>
                <w:sz w:val="22"/>
                <w:szCs w:val="22"/>
                <w:lang w:val="en-GB"/>
              </w:rPr>
            </w:pPr>
            <w:sdt>
              <w:sdtPr>
                <w:rPr>
                  <w:color w:val="auto"/>
                  <w:sz w:val="22"/>
                  <w:szCs w:val="22"/>
                  <w:lang w:val="en-GB"/>
                </w:rPr>
                <w:id w:val="1593354838"/>
                <w14:checkbox>
                  <w14:checked w14:val="0"/>
                  <w14:checkedState w14:val="2612" w14:font="MS Gothic"/>
                  <w14:uncheckedState w14:val="2610" w14:font="MS Gothic"/>
                </w14:checkbox>
              </w:sdtPr>
              <w:sdtEndPr/>
              <w:sdtContent>
                <w:r w:rsidR="00086C07" w:rsidRPr="006E63EE">
                  <w:rPr>
                    <w:rFonts w:ascii="MS Gothic" w:eastAsia="MS Gothic" w:hAnsi="MS Gothic" w:hint="eastAsia"/>
                    <w:color w:val="auto"/>
                    <w:sz w:val="22"/>
                    <w:szCs w:val="22"/>
                    <w:lang w:val="en-GB"/>
                  </w:rPr>
                  <w:t>☐</w:t>
                </w:r>
              </w:sdtContent>
            </w:sdt>
          </w:p>
        </w:tc>
        <w:tc>
          <w:tcPr>
            <w:tcW w:w="2126" w:type="dxa"/>
            <w:tcBorders>
              <w:right w:val="nil"/>
            </w:tcBorders>
            <w:vAlign w:val="center"/>
          </w:tcPr>
          <w:p w14:paraId="68A8CC02" w14:textId="77777777" w:rsidR="00086C07" w:rsidRPr="00607DC1" w:rsidRDefault="00086C07" w:rsidP="00C76E90">
            <w:pPr>
              <w:pStyle w:val="Headinglevelthree"/>
              <w:spacing w:after="0"/>
              <w:rPr>
                <w:color w:val="auto"/>
                <w:sz w:val="20"/>
                <w:szCs w:val="20"/>
                <w:lang w:val="en-GB"/>
              </w:rPr>
            </w:pPr>
          </w:p>
        </w:tc>
        <w:tc>
          <w:tcPr>
            <w:tcW w:w="425" w:type="dxa"/>
            <w:tcBorders>
              <w:left w:val="nil"/>
            </w:tcBorders>
            <w:vAlign w:val="center"/>
          </w:tcPr>
          <w:p w14:paraId="2EA75DB1" w14:textId="77777777" w:rsidR="00086C07" w:rsidRDefault="00086C07" w:rsidP="00C76E90">
            <w:pPr>
              <w:pStyle w:val="Headinglevelthree"/>
              <w:spacing w:after="0"/>
              <w:rPr>
                <w:color w:val="auto"/>
                <w:sz w:val="22"/>
                <w:szCs w:val="22"/>
                <w:lang w:val="en-GB"/>
              </w:rPr>
            </w:pPr>
          </w:p>
        </w:tc>
      </w:tr>
      <w:tr w:rsidR="00086C07" w14:paraId="3EDF39D6" w14:textId="77777777" w:rsidTr="00953729">
        <w:trPr>
          <w:trHeight w:val="337"/>
          <w:jc w:val="center"/>
        </w:trPr>
        <w:tc>
          <w:tcPr>
            <w:tcW w:w="9781" w:type="dxa"/>
            <w:gridSpan w:val="8"/>
            <w:vAlign w:val="center"/>
          </w:tcPr>
          <w:p w14:paraId="620D9A24" w14:textId="77777777" w:rsidR="00086C07" w:rsidRPr="006E63EE" w:rsidRDefault="00086C07" w:rsidP="00C76E90">
            <w:pPr>
              <w:pStyle w:val="Headinglevelthree"/>
              <w:spacing w:after="0"/>
              <w:rPr>
                <w:color w:val="auto"/>
                <w:sz w:val="22"/>
                <w:szCs w:val="22"/>
                <w:lang w:val="en-GB"/>
              </w:rPr>
            </w:pPr>
            <w:r>
              <w:rPr>
                <w:color w:val="auto"/>
                <w:sz w:val="22"/>
                <w:szCs w:val="22"/>
                <w:lang w:val="en-GB"/>
              </w:rPr>
              <w:t xml:space="preserve">Other (please specify): </w:t>
            </w:r>
          </w:p>
        </w:tc>
      </w:tr>
    </w:tbl>
    <w:p w14:paraId="70DDE876" w14:textId="3044B4D6" w:rsidR="00086C07" w:rsidRPr="00953729" w:rsidRDefault="00953729" w:rsidP="0076466F">
      <w:pPr>
        <w:pStyle w:val="Subtitle"/>
        <w:rPr>
          <w:rStyle w:val="SubtleEmphasis"/>
          <w:rFonts w:asciiTheme="majorHAnsi" w:hAnsiTheme="majorHAnsi" w:cstheme="majorHAnsi"/>
        </w:rPr>
      </w:pPr>
      <w:r w:rsidRPr="00953729">
        <w:rPr>
          <w:rStyle w:val="SubtleEmphasis"/>
          <w:rFonts w:asciiTheme="majorHAnsi" w:hAnsiTheme="majorHAnsi" w:cstheme="majorHAnsi"/>
          <w:color w:val="auto"/>
          <w:sz w:val="20"/>
          <w:szCs w:val="20"/>
        </w:rPr>
        <w:t>*</w:t>
      </w:r>
      <w:r w:rsidR="00086C07" w:rsidRPr="00953729">
        <w:rPr>
          <w:rStyle w:val="SubtleEmphasis"/>
          <w:rFonts w:asciiTheme="majorHAnsi" w:hAnsiTheme="majorHAnsi" w:cstheme="majorHAnsi"/>
          <w:color w:val="auto"/>
          <w:sz w:val="20"/>
          <w:szCs w:val="20"/>
        </w:rPr>
        <w:t>Topics aligned with the 12 Greener NHS workstreams (</w:t>
      </w:r>
      <w:r w:rsidR="00693558" w:rsidRPr="00953729">
        <w:rPr>
          <w:rStyle w:val="SubtleEmphasis"/>
          <w:rFonts w:asciiTheme="majorHAnsi" w:hAnsiTheme="majorHAnsi" w:cstheme="majorHAnsi"/>
          <w:color w:val="auto"/>
          <w:sz w:val="20"/>
          <w:szCs w:val="20"/>
        </w:rPr>
        <w:t xml:space="preserve">NHS </w:t>
      </w:r>
      <w:r w:rsidR="00086C07" w:rsidRPr="00953729">
        <w:rPr>
          <w:rStyle w:val="SubtleEmphasis"/>
          <w:rFonts w:asciiTheme="majorHAnsi" w:hAnsiTheme="majorHAnsi" w:cstheme="majorHAnsi"/>
          <w:color w:val="auto"/>
          <w:sz w:val="20"/>
          <w:szCs w:val="20"/>
        </w:rPr>
        <w:t xml:space="preserve">England) are shaded. </w:t>
      </w:r>
    </w:p>
    <w:p w14:paraId="3EEDBC53" w14:textId="77777777" w:rsidR="00953729" w:rsidRPr="00953729" w:rsidRDefault="00953729" w:rsidP="0076466F">
      <w:pPr>
        <w:pStyle w:val="Heading2"/>
        <w:rPr>
          <w:sz w:val="16"/>
          <w:szCs w:val="16"/>
        </w:rPr>
      </w:pPr>
      <w:bookmarkStart w:id="4" w:name="_Hlk109313980"/>
    </w:p>
    <w:p w14:paraId="0C1A11A7" w14:textId="5FC29753" w:rsidR="00086C07" w:rsidRDefault="00086C07" w:rsidP="0076466F">
      <w:pPr>
        <w:pStyle w:val="Heading2"/>
      </w:pPr>
      <w:r w:rsidRPr="00A26CAF">
        <w:t>Key message / aim</w:t>
      </w:r>
    </w:p>
    <w:p w14:paraId="099B93D0" w14:textId="1BFD57F4" w:rsidR="00B46BB0" w:rsidRDefault="007C3A00" w:rsidP="00B46BB0">
      <w:pPr>
        <w:rPr>
          <w:sz w:val="24"/>
          <w:szCs w:val="24"/>
        </w:rPr>
      </w:pPr>
      <w:r w:rsidRPr="00B46BB0">
        <w:rPr>
          <w:sz w:val="24"/>
          <w:szCs w:val="24"/>
        </w:rPr>
        <w:t>To introduce a timely process in the provision of elbow crutches to community patients</w:t>
      </w:r>
      <w:bookmarkStart w:id="5" w:name="_Hlk109313991"/>
      <w:bookmarkEnd w:id="4"/>
      <w:r w:rsidR="00B46BB0">
        <w:rPr>
          <w:sz w:val="24"/>
          <w:szCs w:val="24"/>
        </w:rPr>
        <w:t xml:space="preserve">. </w:t>
      </w:r>
      <w:r w:rsidR="00B46BB0" w:rsidRPr="00B46BB0">
        <w:rPr>
          <w:sz w:val="24"/>
          <w:szCs w:val="24"/>
        </w:rPr>
        <w:t>Reducing waste and protecting and managing resources efficiently</w:t>
      </w:r>
      <w:r w:rsidR="00B46BB0">
        <w:rPr>
          <w:sz w:val="24"/>
          <w:szCs w:val="24"/>
        </w:rPr>
        <w:t xml:space="preserve"> (greener AHP).</w:t>
      </w:r>
    </w:p>
    <w:p w14:paraId="31F61C33" w14:textId="1C062D46" w:rsidR="00086C07" w:rsidRDefault="00086C07" w:rsidP="00B46BB0">
      <w:pPr>
        <w:rPr>
          <w:lang w:eastAsia="en-GB"/>
        </w:rPr>
      </w:pPr>
      <w:r w:rsidRPr="00A26CAF">
        <w:rPr>
          <w:lang w:eastAsia="en-GB"/>
        </w:rPr>
        <w:t xml:space="preserve">What was the problem? </w:t>
      </w:r>
      <w:bookmarkEnd w:id="5"/>
    </w:p>
    <w:p w14:paraId="7FE03EFC" w14:textId="77777777" w:rsidR="00C33FC6" w:rsidRPr="001970CF" w:rsidRDefault="00A273E7" w:rsidP="0076466F">
      <w:pPr>
        <w:rPr>
          <w:sz w:val="24"/>
          <w:szCs w:val="24"/>
          <w:lang w:eastAsia="en-GB"/>
        </w:rPr>
      </w:pPr>
      <w:r w:rsidRPr="001970CF">
        <w:rPr>
          <w:sz w:val="24"/>
          <w:szCs w:val="24"/>
          <w:lang w:eastAsia="en-GB"/>
        </w:rPr>
        <w:t>Elbow crutches are not core stock items for Kent Community Health NHS Foundation Trust (KCHFT) community teams.</w:t>
      </w:r>
      <w:r w:rsidR="00C33FC6" w:rsidRPr="001970CF">
        <w:rPr>
          <w:sz w:val="24"/>
          <w:szCs w:val="24"/>
          <w:lang w:eastAsia="en-GB"/>
        </w:rPr>
        <w:t xml:space="preserve">  </w:t>
      </w:r>
      <w:r w:rsidRPr="001970CF">
        <w:rPr>
          <w:sz w:val="24"/>
          <w:szCs w:val="24"/>
          <w:lang w:eastAsia="en-GB"/>
        </w:rPr>
        <w:t>Following the Covid-19 pandemic, some of the needs of community rehabilitation patients changed.</w:t>
      </w:r>
      <w:r w:rsidR="00C33FC6" w:rsidRPr="001970CF">
        <w:rPr>
          <w:sz w:val="24"/>
          <w:szCs w:val="24"/>
          <w:lang w:eastAsia="en-GB"/>
        </w:rPr>
        <w:t xml:space="preserve"> </w:t>
      </w:r>
      <w:r w:rsidRPr="001970CF">
        <w:rPr>
          <w:sz w:val="24"/>
          <w:szCs w:val="24"/>
          <w:lang w:eastAsia="en-GB"/>
        </w:rPr>
        <w:t xml:space="preserve"> In some cases, patients are waiting for orthopaedic surgery for longer and they are being discharged back into the community sooner. </w:t>
      </w:r>
      <w:r w:rsidR="00C33FC6" w:rsidRPr="001970CF">
        <w:rPr>
          <w:sz w:val="24"/>
          <w:szCs w:val="24"/>
          <w:lang w:eastAsia="en-GB"/>
        </w:rPr>
        <w:t xml:space="preserve"> </w:t>
      </w:r>
      <w:r w:rsidRPr="001970CF">
        <w:rPr>
          <w:sz w:val="24"/>
          <w:szCs w:val="24"/>
          <w:lang w:eastAsia="en-GB"/>
        </w:rPr>
        <w:t xml:space="preserve">This has increased the need for elbow crutches to be provided by KCHFT physiotherapists. </w:t>
      </w:r>
    </w:p>
    <w:p w14:paraId="26EEC09D" w14:textId="765F4B7A" w:rsidR="00C33FC6" w:rsidRPr="001970CF" w:rsidRDefault="00C33FC6" w:rsidP="0076466F">
      <w:pPr>
        <w:rPr>
          <w:sz w:val="24"/>
          <w:szCs w:val="24"/>
          <w:lang w:eastAsia="en-GB"/>
        </w:rPr>
      </w:pPr>
      <w:r w:rsidRPr="001970CF">
        <w:rPr>
          <w:sz w:val="24"/>
          <w:szCs w:val="24"/>
          <w:lang w:eastAsia="en-GB"/>
        </w:rPr>
        <w:t xml:space="preserve">The ordering of specialist items is lengthy.  The physiotherapist had to look up the product, request a quote, complete request forms along with clinical reasoning to be agreed by </w:t>
      </w:r>
      <w:r w:rsidR="0036116E" w:rsidRPr="001970CF">
        <w:rPr>
          <w:sz w:val="24"/>
          <w:szCs w:val="24"/>
          <w:lang w:eastAsia="en-GB"/>
        </w:rPr>
        <w:t xml:space="preserve">a </w:t>
      </w:r>
      <w:r w:rsidRPr="001970CF">
        <w:rPr>
          <w:sz w:val="24"/>
          <w:szCs w:val="24"/>
          <w:lang w:eastAsia="en-GB"/>
        </w:rPr>
        <w:t xml:space="preserve">panel.  There was the wait for the product to be delivered to Nottingham Rehab Supplies (NRS) and then finally, the crutches </w:t>
      </w:r>
      <w:r w:rsidR="0036116E" w:rsidRPr="001970CF">
        <w:rPr>
          <w:sz w:val="24"/>
          <w:szCs w:val="24"/>
          <w:lang w:eastAsia="en-GB"/>
        </w:rPr>
        <w:t>were delivered to the patient.</w:t>
      </w:r>
    </w:p>
    <w:p w14:paraId="3E3696CC" w14:textId="5E8D5623" w:rsidR="0036116E" w:rsidRPr="001970CF" w:rsidRDefault="00A273E7" w:rsidP="0076466F">
      <w:pPr>
        <w:rPr>
          <w:sz w:val="24"/>
          <w:szCs w:val="24"/>
          <w:lang w:eastAsia="en-GB"/>
        </w:rPr>
      </w:pPr>
      <w:r w:rsidRPr="001970CF">
        <w:rPr>
          <w:sz w:val="24"/>
          <w:szCs w:val="24"/>
          <w:lang w:eastAsia="en-GB"/>
        </w:rPr>
        <w:lastRenderedPageBreak/>
        <w:t>This process took the physiotherapist at least 30 minutes and could take up to six weeks for the crutches to arrive. A six week wait in a patient’s acute rehabilitation process can be detrimental to their overall outcome. The number of requests for special orders in the financial year of 2021-2022 was 15, which did not seem to correlate</w:t>
      </w:r>
      <w:r w:rsidR="0036116E" w:rsidRPr="001970CF">
        <w:rPr>
          <w:sz w:val="24"/>
          <w:szCs w:val="24"/>
          <w:lang w:eastAsia="en-GB"/>
        </w:rPr>
        <w:t xml:space="preserve"> </w:t>
      </w:r>
      <w:r w:rsidRPr="001970CF">
        <w:rPr>
          <w:sz w:val="24"/>
          <w:szCs w:val="24"/>
          <w:lang w:eastAsia="en-GB"/>
        </w:rPr>
        <w:t>with the perceived need and frustration within the teams.</w:t>
      </w:r>
    </w:p>
    <w:p w14:paraId="3F2B6732" w14:textId="77777777" w:rsidR="00D10E9C" w:rsidRDefault="0036116E" w:rsidP="0076466F">
      <w:r w:rsidRPr="001970CF">
        <w:rPr>
          <w:sz w:val="24"/>
          <w:szCs w:val="24"/>
          <w:lang w:eastAsia="en-GB"/>
        </w:rPr>
        <w:t>It was hypothesised that the physiotherapists were using other ways of making sure their patient received best care and the elbow crutche</w:t>
      </w:r>
      <w:r w:rsidR="00EE7721" w:rsidRPr="001970CF">
        <w:rPr>
          <w:sz w:val="24"/>
          <w:szCs w:val="24"/>
          <w:lang w:eastAsia="en-GB"/>
        </w:rPr>
        <w:t>s</w:t>
      </w:r>
      <w:r w:rsidRPr="001970CF">
        <w:rPr>
          <w:sz w:val="24"/>
          <w:szCs w:val="24"/>
          <w:lang w:eastAsia="en-GB"/>
        </w:rPr>
        <w:t xml:space="preserve"> in a timely manner</w:t>
      </w:r>
      <w:r w:rsidR="00EE7721" w:rsidRPr="001970CF">
        <w:rPr>
          <w:sz w:val="24"/>
          <w:szCs w:val="24"/>
          <w:lang w:eastAsia="en-GB"/>
        </w:rPr>
        <w:t>,</w:t>
      </w:r>
      <w:r w:rsidRPr="001970CF">
        <w:rPr>
          <w:sz w:val="24"/>
          <w:szCs w:val="24"/>
          <w:lang w:eastAsia="en-GB"/>
        </w:rPr>
        <w:t xml:space="preserve"> by, for example, using</w:t>
      </w:r>
      <w:r w:rsidR="001970CF" w:rsidRPr="001970CF">
        <w:rPr>
          <w:sz w:val="24"/>
          <w:szCs w:val="24"/>
          <w:lang w:eastAsia="en-GB"/>
        </w:rPr>
        <w:t xml:space="preserve"> old</w:t>
      </w:r>
      <w:r w:rsidRPr="001970CF">
        <w:rPr>
          <w:sz w:val="24"/>
          <w:szCs w:val="24"/>
          <w:lang w:eastAsia="en-GB"/>
        </w:rPr>
        <w:t xml:space="preserve"> recycled stock, paying for equipment from their community team budget, or borrowing from other teams’ buffer stock.</w:t>
      </w:r>
      <w:r w:rsidR="001970CF" w:rsidRPr="001970CF">
        <w:t xml:space="preserve"> </w:t>
      </w:r>
    </w:p>
    <w:p w14:paraId="6173C2AA" w14:textId="0D598AB8" w:rsidR="0036116E" w:rsidRPr="001970CF" w:rsidRDefault="001970CF" w:rsidP="0076466F">
      <w:pPr>
        <w:rPr>
          <w:sz w:val="24"/>
          <w:szCs w:val="24"/>
          <w:lang w:eastAsia="en-GB"/>
        </w:rPr>
      </w:pPr>
      <w:r w:rsidRPr="001970CF">
        <w:rPr>
          <w:sz w:val="24"/>
          <w:szCs w:val="24"/>
          <w:lang w:eastAsia="en-GB"/>
        </w:rPr>
        <w:t>Furthermore, whilst working in the community, clinicians were also seeing</w:t>
      </w:r>
      <w:r w:rsidR="0036116E" w:rsidRPr="001970CF">
        <w:rPr>
          <w:sz w:val="24"/>
          <w:szCs w:val="24"/>
          <w:lang w:eastAsia="en-GB"/>
        </w:rPr>
        <w:t xml:space="preserve"> elbow crutches being thrown away, sitting in cupboards, garden sheds or at waste sites.  We needed to find a quicker and sustainable way.</w:t>
      </w:r>
      <w:bookmarkStart w:id="6" w:name="_GoBack"/>
      <w:bookmarkEnd w:id="6"/>
    </w:p>
    <w:p w14:paraId="49A4A353" w14:textId="77777777" w:rsidR="00086C07" w:rsidRPr="00A26CAF" w:rsidRDefault="00086C07" w:rsidP="0076466F">
      <w:pPr>
        <w:pStyle w:val="Heading2"/>
        <w:rPr>
          <w:rFonts w:eastAsia="MS Mincho"/>
          <w:lang w:eastAsia="en-GB"/>
        </w:rPr>
      </w:pPr>
      <w:r w:rsidRPr="00A26CAF">
        <w:rPr>
          <w:rFonts w:eastAsia="MS Mincho"/>
          <w:lang w:eastAsia="en-GB"/>
        </w:rPr>
        <w:t xml:space="preserve">What was the solution? </w:t>
      </w:r>
    </w:p>
    <w:p w14:paraId="41B925B9" w14:textId="654C5E35" w:rsidR="00A26CAF" w:rsidRPr="001970CF" w:rsidRDefault="00A273E7" w:rsidP="0076466F">
      <w:pPr>
        <w:rPr>
          <w:sz w:val="24"/>
          <w:szCs w:val="24"/>
        </w:rPr>
      </w:pPr>
      <w:r w:rsidRPr="001970CF">
        <w:rPr>
          <w:sz w:val="24"/>
          <w:szCs w:val="24"/>
        </w:rPr>
        <w:t xml:space="preserve">The </w:t>
      </w:r>
      <w:r w:rsidR="001970CF" w:rsidRPr="001970CF">
        <w:rPr>
          <w:sz w:val="24"/>
          <w:szCs w:val="24"/>
        </w:rPr>
        <w:t>‘</w:t>
      </w:r>
      <w:r w:rsidRPr="001970CF">
        <w:rPr>
          <w:sz w:val="24"/>
          <w:szCs w:val="24"/>
        </w:rPr>
        <w:t>change</w:t>
      </w:r>
      <w:r w:rsidR="00EE7721" w:rsidRPr="001970CF">
        <w:rPr>
          <w:sz w:val="24"/>
          <w:szCs w:val="24"/>
        </w:rPr>
        <w:t>’</w:t>
      </w:r>
      <w:r w:rsidRPr="001970CF">
        <w:rPr>
          <w:sz w:val="24"/>
          <w:szCs w:val="24"/>
        </w:rPr>
        <w:t xml:space="preserve"> idea was to pilot having elbow crutches as core stock items for one community team to assess the actual need and the benefits to patients. We process mapped the original way of doing things</w:t>
      </w:r>
      <w:r w:rsidR="00EE7721" w:rsidRPr="001970CF">
        <w:rPr>
          <w:sz w:val="24"/>
          <w:szCs w:val="24"/>
        </w:rPr>
        <w:t>,</w:t>
      </w:r>
      <w:r w:rsidRPr="001970CF">
        <w:rPr>
          <w:sz w:val="24"/>
          <w:szCs w:val="24"/>
        </w:rPr>
        <w:t xml:space="preserve"> and the proposed new way</w:t>
      </w:r>
      <w:r w:rsidR="00EE7721" w:rsidRPr="001970CF">
        <w:rPr>
          <w:sz w:val="24"/>
          <w:szCs w:val="24"/>
        </w:rPr>
        <w:t>.</w:t>
      </w:r>
      <w:r w:rsidRPr="001970CF">
        <w:rPr>
          <w:sz w:val="24"/>
          <w:szCs w:val="24"/>
        </w:rPr>
        <w:t xml:space="preserve"> </w:t>
      </w:r>
      <w:r w:rsidR="00386CAE" w:rsidRPr="001970CF">
        <w:rPr>
          <w:color w:val="FF0000"/>
          <w:sz w:val="24"/>
          <w:szCs w:val="24"/>
        </w:rPr>
        <w:t xml:space="preserve"> </w:t>
      </w:r>
      <w:r w:rsidR="001970CF" w:rsidRPr="001970CF">
        <w:rPr>
          <w:sz w:val="24"/>
          <w:szCs w:val="24"/>
        </w:rPr>
        <w:t>A</w:t>
      </w:r>
      <w:r w:rsidRPr="001970CF">
        <w:rPr>
          <w:sz w:val="24"/>
          <w:szCs w:val="24"/>
        </w:rPr>
        <w:t xml:space="preserve">fter some </w:t>
      </w:r>
      <w:r w:rsidR="00386CAE" w:rsidRPr="001970CF">
        <w:rPr>
          <w:sz w:val="24"/>
          <w:szCs w:val="24"/>
        </w:rPr>
        <w:t>time,</w:t>
      </w:r>
      <w:r w:rsidRPr="001970CF">
        <w:rPr>
          <w:sz w:val="24"/>
          <w:szCs w:val="24"/>
        </w:rPr>
        <w:t xml:space="preserve"> the Clinical Commissioning Group (CCG)</w:t>
      </w:r>
      <w:r w:rsidR="00EE7721" w:rsidRPr="001970CF">
        <w:rPr>
          <w:sz w:val="24"/>
          <w:szCs w:val="24"/>
        </w:rPr>
        <w:t>,</w:t>
      </w:r>
      <w:r w:rsidRPr="001970CF">
        <w:rPr>
          <w:sz w:val="24"/>
          <w:szCs w:val="24"/>
        </w:rPr>
        <w:t xml:space="preserve"> </w:t>
      </w:r>
      <w:r w:rsidR="000A7C9E" w:rsidRPr="001970CF">
        <w:rPr>
          <w:sz w:val="24"/>
          <w:szCs w:val="24"/>
        </w:rPr>
        <w:t>n</w:t>
      </w:r>
      <w:r w:rsidRPr="001970CF">
        <w:rPr>
          <w:sz w:val="24"/>
          <w:szCs w:val="24"/>
        </w:rPr>
        <w:t xml:space="preserve">ow known as </w:t>
      </w:r>
      <w:r w:rsidR="00EE7721" w:rsidRPr="001970CF">
        <w:rPr>
          <w:sz w:val="24"/>
          <w:szCs w:val="24"/>
        </w:rPr>
        <w:t>Integrated Care Board</w:t>
      </w:r>
      <w:r w:rsidR="001970CF" w:rsidRPr="001970CF">
        <w:rPr>
          <w:sz w:val="24"/>
          <w:szCs w:val="24"/>
        </w:rPr>
        <w:t xml:space="preserve"> (</w:t>
      </w:r>
      <w:r w:rsidRPr="001970CF">
        <w:rPr>
          <w:sz w:val="24"/>
          <w:szCs w:val="24"/>
        </w:rPr>
        <w:t>ICB</w:t>
      </w:r>
      <w:r w:rsidR="00EE7721" w:rsidRPr="001970CF">
        <w:rPr>
          <w:sz w:val="24"/>
          <w:szCs w:val="24"/>
        </w:rPr>
        <w:t>)</w:t>
      </w:r>
      <w:r w:rsidRPr="001970CF">
        <w:rPr>
          <w:sz w:val="24"/>
          <w:szCs w:val="24"/>
        </w:rPr>
        <w:t xml:space="preserve"> agreed to fund 50 pairs of elbow crutches</w:t>
      </w:r>
      <w:r w:rsidR="000A7C9E" w:rsidRPr="001970CF">
        <w:rPr>
          <w:sz w:val="24"/>
          <w:szCs w:val="24"/>
        </w:rPr>
        <w:t xml:space="preserve">. To ensure sustainably and recyclability, </w:t>
      </w:r>
      <w:r w:rsidR="00EE7721" w:rsidRPr="001970CF">
        <w:rPr>
          <w:sz w:val="24"/>
          <w:szCs w:val="24"/>
        </w:rPr>
        <w:t xml:space="preserve">a </w:t>
      </w:r>
      <w:r w:rsidR="000A7C9E" w:rsidRPr="001970CF">
        <w:rPr>
          <w:sz w:val="24"/>
          <w:szCs w:val="24"/>
        </w:rPr>
        <w:t>local agreement was set up with Nottingham Rehab</w:t>
      </w:r>
      <w:r w:rsidR="00EE7721" w:rsidRPr="001970CF">
        <w:rPr>
          <w:sz w:val="24"/>
          <w:szCs w:val="24"/>
        </w:rPr>
        <w:t xml:space="preserve"> Supplies</w:t>
      </w:r>
      <w:r w:rsidR="000A7C9E" w:rsidRPr="001970CF">
        <w:rPr>
          <w:sz w:val="24"/>
          <w:szCs w:val="24"/>
        </w:rPr>
        <w:t xml:space="preserve"> (</w:t>
      </w:r>
      <w:r w:rsidR="00EE7721" w:rsidRPr="001970CF">
        <w:rPr>
          <w:sz w:val="24"/>
          <w:szCs w:val="24"/>
        </w:rPr>
        <w:t xml:space="preserve">commissioned </w:t>
      </w:r>
      <w:r w:rsidR="000A7C9E" w:rsidRPr="001970CF">
        <w:rPr>
          <w:sz w:val="24"/>
          <w:szCs w:val="24"/>
        </w:rPr>
        <w:t>equipment provider) to have one central drop off site</w:t>
      </w:r>
      <w:r w:rsidR="00EE7721" w:rsidRPr="001970CF">
        <w:rPr>
          <w:sz w:val="24"/>
          <w:szCs w:val="24"/>
        </w:rPr>
        <w:t xml:space="preserve"> to</w:t>
      </w:r>
      <w:r w:rsidR="000A7C9E" w:rsidRPr="001970CF">
        <w:rPr>
          <w:sz w:val="24"/>
          <w:szCs w:val="24"/>
        </w:rPr>
        <w:t xml:space="preserve"> which clinicians were able to have direct access. </w:t>
      </w:r>
      <w:r w:rsidR="00EE197F" w:rsidRPr="001970CF">
        <w:rPr>
          <w:sz w:val="24"/>
          <w:szCs w:val="24"/>
        </w:rPr>
        <w:t xml:space="preserve">The elbow crutches were bar coded and can be tracked if a recall was required. The elbow crutches could be returned and reused into the stock. </w:t>
      </w:r>
    </w:p>
    <w:p w14:paraId="319F4D41" w14:textId="77777777" w:rsidR="00086C07" w:rsidRPr="00A26CAF" w:rsidRDefault="00086C07" w:rsidP="0076466F">
      <w:pPr>
        <w:pStyle w:val="Heading2"/>
        <w:rPr>
          <w:rFonts w:eastAsia="MS Mincho"/>
          <w:lang w:eastAsia="en-GB"/>
        </w:rPr>
      </w:pPr>
      <w:r w:rsidRPr="00A26CAF">
        <w:rPr>
          <w:rFonts w:eastAsia="MS Mincho"/>
          <w:lang w:eastAsia="en-GB"/>
        </w:rPr>
        <w:t>What were the challenges?</w:t>
      </w:r>
    </w:p>
    <w:p w14:paraId="62BABF7A" w14:textId="77777777" w:rsidR="00A273E7" w:rsidRPr="001970CF" w:rsidRDefault="00A273E7" w:rsidP="00A273E7">
      <w:pPr>
        <w:rPr>
          <w:sz w:val="24"/>
          <w:szCs w:val="24"/>
        </w:rPr>
      </w:pPr>
      <w:r w:rsidRPr="001970CF">
        <w:rPr>
          <w:sz w:val="24"/>
          <w:szCs w:val="24"/>
        </w:rPr>
        <w:t>The time taken to convince the CCG via the Integrated Care and Equipment Services operational group that this was an essential change was time well spent.</w:t>
      </w:r>
    </w:p>
    <w:p w14:paraId="31508709" w14:textId="3866FFAE" w:rsidR="00A273E7" w:rsidRPr="001970CF" w:rsidRDefault="00A273E7" w:rsidP="00A273E7">
      <w:pPr>
        <w:rPr>
          <w:sz w:val="24"/>
          <w:szCs w:val="24"/>
        </w:rPr>
      </w:pPr>
      <w:r w:rsidRPr="001970CF">
        <w:rPr>
          <w:sz w:val="24"/>
          <w:szCs w:val="24"/>
        </w:rPr>
        <w:t>It was difficult to prove the need, due to low numbers of elbow crutches being ordered via the specialist orders system in 2021. However, the need has been prove</w:t>
      </w:r>
      <w:r w:rsidR="00EE7721" w:rsidRPr="001970CF">
        <w:rPr>
          <w:sz w:val="24"/>
          <w:szCs w:val="24"/>
        </w:rPr>
        <w:t>n</w:t>
      </w:r>
      <w:r w:rsidRPr="001970CF">
        <w:rPr>
          <w:sz w:val="24"/>
          <w:szCs w:val="24"/>
        </w:rPr>
        <w:t xml:space="preserve"> by the use of the elbow crutches that have been used form the stock with the pilot team. </w:t>
      </w:r>
    </w:p>
    <w:p w14:paraId="50845101" w14:textId="77777777" w:rsidR="00086C07" w:rsidRPr="00A26CAF" w:rsidRDefault="00086C07" w:rsidP="0076466F">
      <w:pPr>
        <w:pStyle w:val="Heading2"/>
        <w:rPr>
          <w:rFonts w:eastAsia="MS Mincho"/>
          <w:lang w:eastAsia="en-GB"/>
        </w:rPr>
      </w:pPr>
      <w:r w:rsidRPr="00A26CAF">
        <w:rPr>
          <w:rFonts w:eastAsia="MS Mincho"/>
          <w:lang w:eastAsia="en-GB"/>
        </w:rPr>
        <w:t>What were the results/Impact?</w:t>
      </w:r>
    </w:p>
    <w:p w14:paraId="796220BF" w14:textId="77777777" w:rsidR="000A7C9E" w:rsidRPr="001970CF" w:rsidRDefault="000A7C9E" w:rsidP="000A7C9E">
      <w:pPr>
        <w:rPr>
          <w:rFonts w:cstheme="minorHAnsi"/>
          <w:sz w:val="24"/>
          <w:szCs w:val="24"/>
          <w:lang w:val="en-US"/>
        </w:rPr>
      </w:pPr>
      <w:r w:rsidRPr="001970CF">
        <w:rPr>
          <w:rFonts w:cstheme="minorHAnsi"/>
          <w:sz w:val="24"/>
          <w:szCs w:val="24"/>
          <w:lang w:val="en-US"/>
        </w:rPr>
        <w:t>Clinical time saved: 3.33 hours were saved during the pilot by changing the process of completing the forms.</w:t>
      </w:r>
    </w:p>
    <w:p w14:paraId="2E39E8D4" w14:textId="77777777" w:rsidR="002F3A58" w:rsidRPr="001970CF" w:rsidRDefault="000A7C9E" w:rsidP="000A7C9E">
      <w:pPr>
        <w:rPr>
          <w:rFonts w:cstheme="minorHAnsi"/>
          <w:sz w:val="24"/>
          <w:szCs w:val="24"/>
          <w:lang w:val="en-US"/>
        </w:rPr>
      </w:pPr>
      <w:r w:rsidRPr="001970CF">
        <w:rPr>
          <w:rFonts w:cstheme="minorHAnsi"/>
          <w:sz w:val="24"/>
          <w:szCs w:val="24"/>
          <w:lang w:val="en-US"/>
        </w:rPr>
        <w:t xml:space="preserve">Waiting </w:t>
      </w:r>
      <w:r w:rsidR="002F3A58" w:rsidRPr="001970CF">
        <w:rPr>
          <w:rFonts w:cstheme="minorHAnsi"/>
          <w:sz w:val="24"/>
          <w:szCs w:val="24"/>
          <w:lang w:val="en-US"/>
        </w:rPr>
        <w:t xml:space="preserve">times: </w:t>
      </w:r>
      <w:r w:rsidRPr="001970CF">
        <w:rPr>
          <w:rFonts w:cstheme="minorHAnsi"/>
          <w:sz w:val="24"/>
          <w:szCs w:val="24"/>
          <w:lang w:val="en-US"/>
        </w:rPr>
        <w:t xml:space="preserve"> </w:t>
      </w:r>
      <w:r w:rsidR="002F3A58" w:rsidRPr="001970CF">
        <w:rPr>
          <w:rFonts w:cstheme="minorHAnsi"/>
          <w:sz w:val="24"/>
          <w:szCs w:val="24"/>
          <w:lang w:val="en-US"/>
        </w:rPr>
        <w:t>No wait time</w:t>
      </w:r>
    </w:p>
    <w:p w14:paraId="5D903541" w14:textId="701B9B0E" w:rsidR="0087465E" w:rsidRPr="001970CF" w:rsidRDefault="000A7C9E" w:rsidP="000A7C9E">
      <w:pPr>
        <w:rPr>
          <w:rFonts w:cstheme="minorHAnsi"/>
          <w:sz w:val="24"/>
          <w:szCs w:val="24"/>
          <w:lang w:val="en-US"/>
        </w:rPr>
      </w:pPr>
      <w:r w:rsidRPr="001970CF">
        <w:rPr>
          <w:rFonts w:cstheme="minorHAnsi"/>
          <w:sz w:val="24"/>
          <w:szCs w:val="24"/>
          <w:lang w:val="en-US"/>
        </w:rPr>
        <w:t>If elbow crutches are added as core stock items for the whole of KCHFT</w:t>
      </w:r>
      <w:r w:rsidR="00EE7721" w:rsidRPr="001970CF">
        <w:rPr>
          <w:rFonts w:cstheme="minorHAnsi"/>
          <w:sz w:val="24"/>
          <w:szCs w:val="24"/>
          <w:lang w:val="en-US"/>
        </w:rPr>
        <w:t>,</w:t>
      </w:r>
      <w:r w:rsidRPr="001970CF">
        <w:rPr>
          <w:rFonts w:cstheme="minorHAnsi"/>
          <w:sz w:val="24"/>
          <w:szCs w:val="24"/>
          <w:lang w:val="en-US"/>
        </w:rPr>
        <w:t xml:space="preserve"> this could mean a clinician time saving of at least 80 clinical hours in a year. The likelihood is that demand will continue to increase. The pilot empowered the physiotherapists to progress and support the rehabilitation of their community patients more effectively, in a critical time in their rehabilitation process. It enabled patients to</w:t>
      </w:r>
      <w:r w:rsidR="004F7669" w:rsidRPr="001970CF">
        <w:rPr>
          <w:rFonts w:cstheme="minorHAnsi"/>
          <w:sz w:val="24"/>
          <w:szCs w:val="24"/>
          <w:lang w:val="en-US"/>
        </w:rPr>
        <w:t xml:space="preserve"> progress to independence</w:t>
      </w:r>
      <w:r w:rsidRPr="001970CF">
        <w:rPr>
          <w:rFonts w:cstheme="minorHAnsi"/>
          <w:sz w:val="24"/>
          <w:szCs w:val="24"/>
          <w:lang w:val="en-US"/>
        </w:rPr>
        <w:t xml:space="preserve"> and has helped with waiting list caseload management by being able to rehabilitate and discharge patients </w:t>
      </w:r>
      <w:r w:rsidRPr="001970CF">
        <w:rPr>
          <w:rFonts w:cstheme="minorHAnsi"/>
          <w:sz w:val="24"/>
          <w:szCs w:val="24"/>
          <w:lang w:val="en-US"/>
        </w:rPr>
        <w:lastRenderedPageBreak/>
        <w:t>quicker,</w:t>
      </w:r>
      <w:r w:rsidR="004F7669" w:rsidRPr="001970CF">
        <w:rPr>
          <w:rFonts w:cstheme="minorHAnsi"/>
          <w:sz w:val="24"/>
          <w:szCs w:val="24"/>
          <w:lang w:val="en-US"/>
        </w:rPr>
        <w:t xml:space="preserve"> (eliminating the potential 6 week wait for crutches)</w:t>
      </w:r>
      <w:r w:rsidRPr="001970CF">
        <w:rPr>
          <w:rFonts w:cstheme="minorHAnsi"/>
          <w:sz w:val="24"/>
          <w:szCs w:val="24"/>
          <w:lang w:val="en-US"/>
        </w:rPr>
        <w:t xml:space="preserve"> </w:t>
      </w:r>
      <w:r w:rsidR="001970CF" w:rsidRPr="001970CF">
        <w:rPr>
          <w:rFonts w:cstheme="minorHAnsi"/>
          <w:sz w:val="24"/>
          <w:szCs w:val="24"/>
          <w:lang w:val="en-US"/>
        </w:rPr>
        <w:t xml:space="preserve">to </w:t>
      </w:r>
      <w:r w:rsidRPr="001970CF">
        <w:rPr>
          <w:rFonts w:cstheme="minorHAnsi"/>
          <w:sz w:val="24"/>
          <w:szCs w:val="24"/>
          <w:lang w:val="en-US"/>
        </w:rPr>
        <w:t>not have to wait at all</w:t>
      </w:r>
      <w:r w:rsidR="001970CF" w:rsidRPr="001970CF">
        <w:rPr>
          <w:rFonts w:cstheme="minorHAnsi"/>
          <w:sz w:val="24"/>
          <w:szCs w:val="24"/>
          <w:lang w:val="en-US"/>
        </w:rPr>
        <w:t xml:space="preserve">. </w:t>
      </w:r>
      <w:r w:rsidRPr="001970CF">
        <w:rPr>
          <w:rFonts w:cstheme="minorHAnsi"/>
          <w:sz w:val="24"/>
          <w:szCs w:val="24"/>
          <w:lang w:val="en-US"/>
        </w:rPr>
        <w:t xml:space="preserve"> This change would benefit ALL services that access NRS for crutches not just KCHFT.</w:t>
      </w:r>
    </w:p>
    <w:p w14:paraId="2BB40CF3" w14:textId="2F4F7D13" w:rsidR="00F15DD5" w:rsidRPr="001970CF" w:rsidRDefault="00F15DD5" w:rsidP="000A7C9E">
      <w:pPr>
        <w:rPr>
          <w:rFonts w:cstheme="minorHAnsi"/>
          <w:sz w:val="24"/>
          <w:szCs w:val="24"/>
          <w:lang w:val="en-US"/>
        </w:rPr>
      </w:pPr>
      <w:r w:rsidRPr="001970CF">
        <w:rPr>
          <w:rFonts w:cstheme="minorHAnsi"/>
          <w:sz w:val="24"/>
          <w:szCs w:val="24"/>
          <w:lang w:val="en-US"/>
        </w:rPr>
        <w:t xml:space="preserve">Cost saving: If each of the eight community teams used 24 pairs of crutches a year at £9.07 instead of £14.99, a saving of £1,136.64 in one year could be </w:t>
      </w:r>
      <w:proofErr w:type="spellStart"/>
      <w:r w:rsidRPr="001970CF">
        <w:rPr>
          <w:rFonts w:cstheme="minorHAnsi"/>
          <w:sz w:val="24"/>
          <w:szCs w:val="24"/>
          <w:lang w:val="en-US"/>
        </w:rPr>
        <w:t>realised</w:t>
      </w:r>
      <w:proofErr w:type="spellEnd"/>
      <w:r w:rsidRPr="001970CF">
        <w:rPr>
          <w:rFonts w:cstheme="minorHAnsi"/>
          <w:sz w:val="24"/>
          <w:szCs w:val="24"/>
          <w:lang w:val="en-US"/>
        </w:rPr>
        <w:t>.</w:t>
      </w:r>
    </w:p>
    <w:p w14:paraId="6EE7D18C" w14:textId="79EBE21B" w:rsidR="002F3A58" w:rsidRPr="001970CF" w:rsidRDefault="002F3A58" w:rsidP="000A7C9E">
      <w:pPr>
        <w:rPr>
          <w:rFonts w:cstheme="minorHAnsi"/>
          <w:sz w:val="24"/>
          <w:szCs w:val="24"/>
          <w:lang w:val="en-US"/>
        </w:rPr>
      </w:pPr>
      <w:r w:rsidRPr="001970CF">
        <w:rPr>
          <w:rFonts w:cstheme="minorHAnsi"/>
          <w:sz w:val="24"/>
          <w:szCs w:val="24"/>
          <w:lang w:val="en-US"/>
        </w:rPr>
        <w:t>The pilot has ended</w:t>
      </w:r>
      <w:r w:rsidR="00E4643C" w:rsidRPr="001970CF">
        <w:rPr>
          <w:rFonts w:cstheme="minorHAnsi"/>
          <w:sz w:val="24"/>
          <w:szCs w:val="24"/>
          <w:lang w:val="en-US"/>
        </w:rPr>
        <w:t xml:space="preserve"> and proven to be such a success</w:t>
      </w:r>
      <w:r w:rsidR="001970CF" w:rsidRPr="001970CF">
        <w:rPr>
          <w:rFonts w:cstheme="minorHAnsi"/>
          <w:sz w:val="24"/>
          <w:szCs w:val="24"/>
          <w:lang w:val="en-US"/>
        </w:rPr>
        <w:t xml:space="preserve"> </w:t>
      </w:r>
      <w:r w:rsidRPr="001970CF">
        <w:rPr>
          <w:rFonts w:cstheme="minorHAnsi"/>
          <w:sz w:val="24"/>
          <w:szCs w:val="24"/>
          <w:lang w:val="en-US"/>
        </w:rPr>
        <w:t xml:space="preserve">that this will </w:t>
      </w:r>
      <w:bookmarkStart w:id="7" w:name="_Hlk146035942"/>
      <w:r w:rsidRPr="001970CF">
        <w:rPr>
          <w:rFonts w:cstheme="minorHAnsi"/>
          <w:sz w:val="24"/>
          <w:szCs w:val="24"/>
          <w:lang w:val="en-US"/>
        </w:rPr>
        <w:t xml:space="preserve">be rolled out to other community teams with the remaining pairs of crutches, </w:t>
      </w:r>
      <w:r w:rsidR="00E4643C" w:rsidRPr="001970CF">
        <w:rPr>
          <w:rFonts w:cstheme="minorHAnsi"/>
          <w:sz w:val="24"/>
          <w:szCs w:val="24"/>
          <w:lang w:val="en-US"/>
        </w:rPr>
        <w:t>(</w:t>
      </w:r>
      <w:r w:rsidRPr="001970CF">
        <w:rPr>
          <w:rFonts w:cstheme="minorHAnsi"/>
          <w:sz w:val="24"/>
          <w:szCs w:val="24"/>
          <w:lang w:val="en-US"/>
        </w:rPr>
        <w:t>mirroring the pilot process</w:t>
      </w:r>
      <w:r w:rsidR="00E4643C" w:rsidRPr="001970CF">
        <w:rPr>
          <w:rFonts w:cstheme="minorHAnsi"/>
          <w:sz w:val="24"/>
          <w:szCs w:val="24"/>
          <w:lang w:val="en-US"/>
        </w:rPr>
        <w:t>)</w:t>
      </w:r>
      <w:r w:rsidRPr="001970CF">
        <w:rPr>
          <w:rFonts w:cstheme="minorHAnsi"/>
          <w:sz w:val="24"/>
          <w:szCs w:val="24"/>
          <w:lang w:val="en-US"/>
        </w:rPr>
        <w:t>, to enable patients within other teams to benefit as soon as possible.</w:t>
      </w:r>
    </w:p>
    <w:bookmarkEnd w:id="7"/>
    <w:p w14:paraId="5BA1B47D" w14:textId="16C4FC30" w:rsidR="00F15DD5" w:rsidRPr="001970CF" w:rsidRDefault="002F3A58" w:rsidP="0076466F">
      <w:pPr>
        <w:rPr>
          <w:rFonts w:cstheme="minorHAnsi"/>
          <w:sz w:val="24"/>
          <w:szCs w:val="24"/>
          <w:lang w:val="en-US"/>
        </w:rPr>
      </w:pPr>
      <w:r w:rsidRPr="001970CF">
        <w:rPr>
          <w:rFonts w:cstheme="minorHAnsi"/>
          <w:sz w:val="24"/>
          <w:szCs w:val="24"/>
          <w:lang w:val="en-US"/>
        </w:rPr>
        <w:t>Following the pilot further discussions were held with ICB and additional funds were provided to provide a buffer stock of elbow crutches to all KCHFT community hospitals (10 sites) across Kent. A process map was identified which enabled patients, family and cares to drop off the elbow crutches back to site and then be recycled into stock</w:t>
      </w:r>
      <w:r w:rsidR="00F15DD5" w:rsidRPr="001970CF">
        <w:rPr>
          <w:rFonts w:cstheme="minorHAnsi"/>
          <w:sz w:val="24"/>
          <w:szCs w:val="24"/>
          <w:lang w:val="en-US"/>
        </w:rPr>
        <w:t>.</w:t>
      </w:r>
    </w:p>
    <w:p w14:paraId="6383DB15" w14:textId="77777777" w:rsidR="00A26CAF" w:rsidRPr="00A26CAF" w:rsidRDefault="00A26CAF" w:rsidP="0076466F"/>
    <w:p w14:paraId="4EA97085" w14:textId="77777777" w:rsidR="00086C07" w:rsidRPr="00A26CAF" w:rsidRDefault="00086C07" w:rsidP="0076466F">
      <w:pPr>
        <w:pStyle w:val="Heading2"/>
        <w:rPr>
          <w:lang w:eastAsia="en-GB"/>
        </w:rPr>
      </w:pPr>
      <w:r w:rsidRPr="00A26CAF">
        <w:rPr>
          <w:lang w:eastAsia="en-GB"/>
        </w:rPr>
        <w:t>What were the learning points?</w:t>
      </w:r>
    </w:p>
    <w:p w14:paraId="78FA0527" w14:textId="0C56E432" w:rsidR="00C96C5F" w:rsidRPr="001970CF" w:rsidRDefault="00C96C5F" w:rsidP="00C96C5F">
      <w:pPr>
        <w:rPr>
          <w:rFonts w:cstheme="minorHAnsi"/>
          <w:sz w:val="24"/>
          <w:szCs w:val="24"/>
          <w:lang w:eastAsia="en-GB"/>
        </w:rPr>
      </w:pPr>
      <w:r w:rsidRPr="001970CF">
        <w:rPr>
          <w:rFonts w:cstheme="minorHAnsi"/>
          <w:sz w:val="24"/>
          <w:szCs w:val="24"/>
          <w:lang w:eastAsia="en-GB"/>
        </w:rPr>
        <w:t>We learned that changing elbow crutches to core stock would:</w:t>
      </w:r>
    </w:p>
    <w:p w14:paraId="2AA4A314" w14:textId="77777777" w:rsidR="00C96C5F" w:rsidRPr="001970CF" w:rsidRDefault="00C96C5F" w:rsidP="00C96C5F">
      <w:pPr>
        <w:pStyle w:val="ListParagraph"/>
        <w:numPr>
          <w:ilvl w:val="0"/>
          <w:numId w:val="7"/>
        </w:numPr>
        <w:rPr>
          <w:rFonts w:asciiTheme="minorHAnsi" w:hAnsiTheme="minorHAnsi" w:cstheme="minorHAnsi"/>
          <w:lang w:eastAsia="en-GB"/>
        </w:rPr>
      </w:pPr>
      <w:r w:rsidRPr="001970CF">
        <w:rPr>
          <w:rFonts w:asciiTheme="minorHAnsi" w:hAnsiTheme="minorHAnsi" w:cstheme="minorHAnsi"/>
          <w:lang w:eastAsia="en-GB"/>
        </w:rPr>
        <w:t>Benefit patients by reducing waiting times for equipment</w:t>
      </w:r>
    </w:p>
    <w:p w14:paraId="6BF1CC84" w14:textId="6AB92ADF" w:rsidR="00C96C5F" w:rsidRPr="00FD3094" w:rsidRDefault="00C96C5F" w:rsidP="00FD3094">
      <w:pPr>
        <w:pStyle w:val="ListParagraph"/>
        <w:numPr>
          <w:ilvl w:val="0"/>
          <w:numId w:val="7"/>
        </w:numPr>
        <w:rPr>
          <w:rFonts w:asciiTheme="minorHAnsi" w:hAnsiTheme="minorHAnsi" w:cstheme="minorHAnsi"/>
          <w:lang w:eastAsia="en-GB"/>
        </w:rPr>
      </w:pPr>
      <w:r w:rsidRPr="001970CF">
        <w:rPr>
          <w:rFonts w:asciiTheme="minorHAnsi" w:hAnsiTheme="minorHAnsi" w:cstheme="minorHAnsi"/>
          <w:lang w:eastAsia="en-GB"/>
        </w:rPr>
        <w:t>Save physiotherapists clinical time</w:t>
      </w:r>
    </w:p>
    <w:p w14:paraId="363FDB51" w14:textId="0725691F" w:rsidR="00C96C5F" w:rsidRPr="001970CF" w:rsidRDefault="00C96C5F" w:rsidP="00C96C5F">
      <w:pPr>
        <w:pStyle w:val="ListParagraph"/>
        <w:numPr>
          <w:ilvl w:val="0"/>
          <w:numId w:val="7"/>
        </w:numPr>
        <w:rPr>
          <w:rFonts w:asciiTheme="minorHAnsi" w:hAnsiTheme="minorHAnsi" w:cstheme="minorHAnsi"/>
          <w:lang w:eastAsia="en-GB"/>
        </w:rPr>
      </w:pPr>
      <w:r w:rsidRPr="001970CF">
        <w:rPr>
          <w:rFonts w:asciiTheme="minorHAnsi" w:hAnsiTheme="minorHAnsi" w:cstheme="minorHAnsi"/>
          <w:lang w:eastAsia="en-GB"/>
        </w:rPr>
        <w:t xml:space="preserve">Have the potential to help with caseload management and reduce waiting times to access community rehabilitation </w:t>
      </w:r>
    </w:p>
    <w:p w14:paraId="413E7A24" w14:textId="556996B1" w:rsidR="00C96C5F" w:rsidRDefault="00C96C5F" w:rsidP="00C96C5F">
      <w:pPr>
        <w:pStyle w:val="ListParagraph"/>
        <w:numPr>
          <w:ilvl w:val="0"/>
          <w:numId w:val="7"/>
        </w:numPr>
        <w:rPr>
          <w:rFonts w:asciiTheme="minorHAnsi" w:hAnsiTheme="minorHAnsi" w:cstheme="minorHAnsi"/>
          <w:lang w:eastAsia="en-GB"/>
        </w:rPr>
      </w:pPr>
      <w:r w:rsidRPr="001970CF">
        <w:rPr>
          <w:rFonts w:asciiTheme="minorHAnsi" w:hAnsiTheme="minorHAnsi" w:cstheme="minorHAnsi"/>
          <w:lang w:eastAsia="en-GB"/>
        </w:rPr>
        <w:t xml:space="preserve">Improve sustainability </w:t>
      </w:r>
    </w:p>
    <w:p w14:paraId="4EC6EFAC" w14:textId="5B562C30" w:rsidR="00FD3094" w:rsidRDefault="00FD3094" w:rsidP="00C96C5F">
      <w:pPr>
        <w:pStyle w:val="ListParagraph"/>
        <w:numPr>
          <w:ilvl w:val="0"/>
          <w:numId w:val="7"/>
        </w:numPr>
        <w:rPr>
          <w:rFonts w:asciiTheme="minorHAnsi" w:hAnsiTheme="minorHAnsi" w:cstheme="minorHAnsi"/>
          <w:lang w:eastAsia="en-GB"/>
        </w:rPr>
      </w:pPr>
      <w:r w:rsidRPr="00FD3094">
        <w:rPr>
          <w:rFonts w:asciiTheme="minorHAnsi" w:hAnsiTheme="minorHAnsi" w:cstheme="minorHAnsi"/>
          <w:lang w:eastAsia="en-GB"/>
        </w:rPr>
        <w:t>Services: cost saving through the re-use of equipment and reduction of waste, reduced mileage for NRS fleet</w:t>
      </w:r>
    </w:p>
    <w:p w14:paraId="13EA17D7" w14:textId="223420F0" w:rsidR="00D10E9C" w:rsidRPr="001970CF" w:rsidRDefault="00D10E9C" w:rsidP="00C96C5F">
      <w:pPr>
        <w:pStyle w:val="ListParagraph"/>
        <w:numPr>
          <w:ilvl w:val="0"/>
          <w:numId w:val="7"/>
        </w:numPr>
        <w:rPr>
          <w:rFonts w:asciiTheme="minorHAnsi" w:hAnsiTheme="minorHAnsi" w:cstheme="minorHAnsi"/>
          <w:lang w:eastAsia="en-GB"/>
        </w:rPr>
      </w:pPr>
      <w:r>
        <w:rPr>
          <w:rFonts w:asciiTheme="minorHAnsi" w:hAnsiTheme="minorHAnsi" w:cstheme="minorHAnsi"/>
          <w:lang w:eastAsia="en-GB"/>
        </w:rPr>
        <w:t>The model can be replicated in other teams across Kent within KCHFT</w:t>
      </w:r>
    </w:p>
    <w:p w14:paraId="554E6B0B" w14:textId="77777777" w:rsidR="00086C07" w:rsidRPr="00A26CAF" w:rsidRDefault="00086C07" w:rsidP="0076466F">
      <w:pPr>
        <w:rPr>
          <w:lang w:eastAsia="en-GB"/>
        </w:rPr>
      </w:pPr>
    </w:p>
    <w:p w14:paraId="3C6D5ED6" w14:textId="434E189D" w:rsidR="00086C07" w:rsidRDefault="00086C07" w:rsidP="0076466F">
      <w:pPr>
        <w:pStyle w:val="Heading2"/>
        <w:rPr>
          <w:lang w:eastAsia="en-GB"/>
        </w:rPr>
      </w:pPr>
      <w:r w:rsidRPr="00A26CAF">
        <w:rPr>
          <w:lang w:eastAsia="en-GB"/>
        </w:rPr>
        <w:t xml:space="preserve">Next steps </w:t>
      </w:r>
    </w:p>
    <w:p w14:paraId="261310B5" w14:textId="1D6F5112" w:rsidR="0087465E" w:rsidRPr="001970CF" w:rsidRDefault="0087465E" w:rsidP="0087465E">
      <w:pPr>
        <w:rPr>
          <w:sz w:val="24"/>
          <w:szCs w:val="24"/>
          <w:lang w:eastAsia="en-GB"/>
        </w:rPr>
      </w:pPr>
      <w:r w:rsidRPr="001970CF">
        <w:rPr>
          <w:sz w:val="24"/>
          <w:szCs w:val="24"/>
          <w:lang w:eastAsia="en-GB"/>
        </w:rPr>
        <w:t>The next step is to provide the data from this pilot to the ICB contracts meeting to prove that if elbow crutches are identified as a core stock item, it reduces waiting times for patients, reduces the clinical time spent in the ordering process</w:t>
      </w:r>
      <w:r w:rsidR="00E4643C" w:rsidRPr="001970CF">
        <w:rPr>
          <w:sz w:val="24"/>
          <w:szCs w:val="24"/>
          <w:lang w:eastAsia="en-GB"/>
        </w:rPr>
        <w:t>,</w:t>
      </w:r>
      <w:r w:rsidRPr="001970CF">
        <w:rPr>
          <w:sz w:val="24"/>
          <w:szCs w:val="24"/>
          <w:lang w:eastAsia="en-GB"/>
        </w:rPr>
        <w:t xml:space="preserve"> and saves money. This would benefit all other organisations which are affiliated to the Integrated Care and Equipment Services. This includes hospices, acute services, community NHS trusts and social care</w:t>
      </w:r>
      <w:r w:rsidR="00E4643C" w:rsidRPr="001970CF">
        <w:rPr>
          <w:sz w:val="24"/>
          <w:szCs w:val="24"/>
          <w:lang w:eastAsia="en-GB"/>
        </w:rPr>
        <w:t>.</w:t>
      </w:r>
    </w:p>
    <w:p w14:paraId="4ADC096A" w14:textId="77777777" w:rsidR="00086C07" w:rsidRPr="00A26CAF" w:rsidRDefault="00086C07" w:rsidP="0076466F">
      <w:pPr>
        <w:rPr>
          <w:lang w:val="en-US"/>
        </w:rPr>
      </w:pPr>
    </w:p>
    <w:p w14:paraId="766200E5" w14:textId="0EB19667" w:rsidR="00086C07" w:rsidRPr="00A26CAF" w:rsidRDefault="00086C07" w:rsidP="0076466F">
      <w:pPr>
        <w:pStyle w:val="Heading2"/>
        <w:rPr>
          <w:rFonts w:eastAsia="ヒラギノ角ゴ Pro W3" w:cstheme="majorHAnsi"/>
          <w:color w:val="000000"/>
          <w:lang w:val="en-US"/>
        </w:rPr>
      </w:pPr>
      <w:r w:rsidRPr="00A26CAF">
        <w:rPr>
          <w:lang w:eastAsia="en-GB"/>
        </w:rPr>
        <w:t>What the team and/or patients and carers had to say</w:t>
      </w:r>
    </w:p>
    <w:p w14:paraId="28C945C8" w14:textId="6DC0AE02" w:rsidR="00086C07" w:rsidRPr="001970CF" w:rsidRDefault="002F3A58" w:rsidP="0076466F">
      <w:pPr>
        <w:rPr>
          <w:sz w:val="24"/>
          <w:szCs w:val="24"/>
          <w:lang w:eastAsia="en-GB"/>
        </w:rPr>
      </w:pPr>
      <w:r w:rsidRPr="001970CF">
        <w:rPr>
          <w:sz w:val="24"/>
          <w:szCs w:val="24"/>
          <w:lang w:eastAsia="en-GB"/>
        </w:rPr>
        <w:t>Following comments captured by Physiotherapist who participated in the pilot:</w:t>
      </w:r>
    </w:p>
    <w:tbl>
      <w:tblPr>
        <w:tblStyle w:val="TableGrid"/>
        <w:tblW w:w="0" w:type="auto"/>
        <w:tblLook w:val="04A0" w:firstRow="1" w:lastRow="0" w:firstColumn="1" w:lastColumn="0" w:noHBand="0" w:noVBand="1"/>
      </w:tblPr>
      <w:tblGrid>
        <w:gridCol w:w="3081"/>
        <w:gridCol w:w="3081"/>
      </w:tblGrid>
      <w:tr w:rsidR="002F3A58" w:rsidRPr="001970CF" w14:paraId="2D7F11DD" w14:textId="77777777" w:rsidTr="0072524F">
        <w:tc>
          <w:tcPr>
            <w:tcW w:w="3081" w:type="dxa"/>
          </w:tcPr>
          <w:p w14:paraId="7B1EE6BD"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Impact on the patient</w:t>
            </w:r>
          </w:p>
        </w:tc>
        <w:tc>
          <w:tcPr>
            <w:tcW w:w="3081" w:type="dxa"/>
          </w:tcPr>
          <w:p w14:paraId="6B86CD4E"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Impact on the service</w:t>
            </w:r>
          </w:p>
        </w:tc>
      </w:tr>
      <w:tr w:rsidR="002F3A58" w:rsidRPr="001970CF" w14:paraId="22EE4544" w14:textId="77777777" w:rsidTr="0072524F">
        <w:tc>
          <w:tcPr>
            <w:tcW w:w="3081" w:type="dxa"/>
          </w:tcPr>
          <w:p w14:paraId="7EDD0DBE"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More empowered, increase in confidence. </w:t>
            </w:r>
          </w:p>
        </w:tc>
        <w:tc>
          <w:tcPr>
            <w:tcW w:w="3081" w:type="dxa"/>
          </w:tcPr>
          <w:p w14:paraId="016536A7"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No delay in rehab, able to provide better outcomes, required shorter </w:t>
            </w:r>
            <w:r w:rsidRPr="001970CF">
              <w:rPr>
                <w:rFonts w:asciiTheme="minorHAnsi" w:eastAsiaTheme="minorHAnsi" w:hAnsiTheme="minorHAnsi" w:cstheme="minorBidi"/>
                <w:sz w:val="24"/>
                <w:szCs w:val="24"/>
              </w:rPr>
              <w:lastRenderedPageBreak/>
              <w:t>interventions as progressed more quickly</w:t>
            </w:r>
          </w:p>
        </w:tc>
      </w:tr>
      <w:tr w:rsidR="002F3A58" w:rsidRPr="001970CF" w14:paraId="5ECB255F" w14:textId="77777777" w:rsidTr="0072524F">
        <w:tc>
          <w:tcPr>
            <w:tcW w:w="3081" w:type="dxa"/>
          </w:tcPr>
          <w:p w14:paraId="29E3F5B5"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lastRenderedPageBreak/>
              <w:t>Patient feels more confident mobilizing with E/crutches, helps manage fatigue</w:t>
            </w:r>
          </w:p>
        </w:tc>
        <w:tc>
          <w:tcPr>
            <w:tcW w:w="3081" w:type="dxa"/>
          </w:tcPr>
          <w:p w14:paraId="2955E1FB"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Reduced time on caseload as able to provide aid sooner</w:t>
            </w:r>
          </w:p>
        </w:tc>
      </w:tr>
      <w:tr w:rsidR="002F3A58" w:rsidRPr="001970CF" w14:paraId="54F62003" w14:textId="77777777" w:rsidTr="0072524F">
        <w:tc>
          <w:tcPr>
            <w:tcW w:w="3081" w:type="dxa"/>
          </w:tcPr>
          <w:p w14:paraId="3265A523"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Patient very happy to be able to mobilise independently indoors and out to the car with a suitable aid</w:t>
            </w:r>
          </w:p>
        </w:tc>
        <w:tc>
          <w:tcPr>
            <w:tcW w:w="3081" w:type="dxa"/>
          </w:tcPr>
          <w:p w14:paraId="007CF600"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Better outcome for patient</w:t>
            </w:r>
          </w:p>
        </w:tc>
      </w:tr>
      <w:tr w:rsidR="002F3A58" w:rsidRPr="002F3A58" w14:paraId="5DBD7688" w14:textId="77777777" w:rsidTr="0072524F">
        <w:tc>
          <w:tcPr>
            <w:tcW w:w="3081" w:type="dxa"/>
          </w:tcPr>
          <w:p w14:paraId="0136EDE9"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Patient found EBC allowed her to be more mobile as </w:t>
            </w:r>
            <w:proofErr w:type="spellStart"/>
            <w:r w:rsidRPr="001970CF">
              <w:rPr>
                <w:rFonts w:asciiTheme="minorHAnsi" w:eastAsiaTheme="minorHAnsi" w:hAnsiTheme="minorHAnsi" w:cstheme="minorBidi"/>
                <w:sz w:val="24"/>
                <w:szCs w:val="24"/>
              </w:rPr>
              <w:t>wzf</w:t>
            </w:r>
            <w:proofErr w:type="spellEnd"/>
            <w:r w:rsidRPr="001970CF">
              <w:rPr>
                <w:rFonts w:asciiTheme="minorHAnsi" w:eastAsiaTheme="minorHAnsi" w:hAnsiTheme="minorHAnsi" w:cstheme="minorBidi"/>
                <w:sz w:val="24"/>
                <w:szCs w:val="24"/>
              </w:rPr>
              <w:t xml:space="preserve"> cumbersome now. Patient can mobilise safely outdoors with appropriate aid</w:t>
            </w:r>
          </w:p>
        </w:tc>
        <w:tc>
          <w:tcPr>
            <w:tcW w:w="3081" w:type="dxa"/>
          </w:tcPr>
          <w:p w14:paraId="3351A1EB" w14:textId="77723EC8"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Progress patient sooner </w:t>
            </w:r>
            <w:proofErr w:type="gramStart"/>
            <w:r w:rsidRPr="001970CF">
              <w:rPr>
                <w:rFonts w:asciiTheme="minorHAnsi" w:eastAsiaTheme="minorHAnsi" w:hAnsiTheme="minorHAnsi" w:cstheme="minorBidi"/>
                <w:sz w:val="24"/>
                <w:szCs w:val="24"/>
              </w:rPr>
              <w:t xml:space="preserve">off  </w:t>
            </w:r>
            <w:proofErr w:type="spellStart"/>
            <w:r w:rsidRPr="001970CF">
              <w:rPr>
                <w:rFonts w:asciiTheme="minorHAnsi" w:eastAsiaTheme="minorHAnsi" w:hAnsiTheme="minorHAnsi" w:cstheme="minorBidi"/>
                <w:sz w:val="24"/>
                <w:szCs w:val="24"/>
              </w:rPr>
              <w:t>wzf</w:t>
            </w:r>
            <w:proofErr w:type="spellEnd"/>
            <w:proofErr w:type="gramEnd"/>
            <w:r w:rsidRPr="001970CF">
              <w:rPr>
                <w:rFonts w:asciiTheme="minorHAnsi" w:eastAsiaTheme="minorHAnsi" w:hAnsiTheme="minorHAnsi" w:cstheme="minorBidi"/>
                <w:sz w:val="24"/>
                <w:szCs w:val="24"/>
              </w:rPr>
              <w:t xml:space="preserve">. </w:t>
            </w:r>
          </w:p>
        </w:tc>
      </w:tr>
      <w:tr w:rsidR="002F3A58" w:rsidRPr="002F3A58" w14:paraId="0D8140DE" w14:textId="77777777" w:rsidTr="0072524F">
        <w:tc>
          <w:tcPr>
            <w:tcW w:w="3081" w:type="dxa"/>
          </w:tcPr>
          <w:p w14:paraId="487933A8"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Patient able to mobilise with EBC, improving his balance and </w:t>
            </w:r>
            <w:proofErr w:type="spellStart"/>
            <w:r w:rsidRPr="001970CF">
              <w:rPr>
                <w:rFonts w:asciiTheme="minorHAnsi" w:eastAsiaTheme="minorHAnsi" w:hAnsiTheme="minorHAnsi" w:cstheme="minorBidi"/>
                <w:sz w:val="24"/>
                <w:szCs w:val="24"/>
              </w:rPr>
              <w:t>confidience</w:t>
            </w:r>
            <w:proofErr w:type="spellEnd"/>
          </w:p>
        </w:tc>
        <w:tc>
          <w:tcPr>
            <w:tcW w:w="3081" w:type="dxa"/>
          </w:tcPr>
          <w:p w14:paraId="6CBF99EE" w14:textId="77777777" w:rsidR="002F3A58" w:rsidRPr="001970CF" w:rsidRDefault="002F3A58" w:rsidP="002F3A58">
            <w:pPr>
              <w:spacing w:after="160" w:line="259" w:lineRule="auto"/>
              <w:rPr>
                <w:rFonts w:asciiTheme="minorHAnsi" w:eastAsiaTheme="minorHAnsi" w:hAnsiTheme="minorHAnsi" w:cstheme="minorBidi"/>
                <w:sz w:val="24"/>
                <w:szCs w:val="24"/>
              </w:rPr>
            </w:pPr>
            <w:r w:rsidRPr="001970CF">
              <w:rPr>
                <w:rFonts w:asciiTheme="minorHAnsi" w:eastAsiaTheme="minorHAnsi" w:hAnsiTheme="minorHAnsi" w:cstheme="minorBidi"/>
                <w:sz w:val="24"/>
                <w:szCs w:val="24"/>
              </w:rPr>
              <w:t xml:space="preserve">Progress patient sooner off </w:t>
            </w:r>
            <w:proofErr w:type="spellStart"/>
            <w:r w:rsidRPr="001970CF">
              <w:rPr>
                <w:rFonts w:asciiTheme="minorHAnsi" w:eastAsiaTheme="minorHAnsi" w:hAnsiTheme="minorHAnsi" w:cstheme="minorBidi"/>
                <w:sz w:val="24"/>
                <w:szCs w:val="24"/>
              </w:rPr>
              <w:t>wzf</w:t>
            </w:r>
            <w:proofErr w:type="spellEnd"/>
            <w:r w:rsidRPr="001970CF">
              <w:rPr>
                <w:rFonts w:asciiTheme="minorHAnsi" w:eastAsiaTheme="minorHAnsi" w:hAnsiTheme="minorHAnsi" w:cstheme="minorBidi"/>
                <w:sz w:val="24"/>
                <w:szCs w:val="24"/>
              </w:rPr>
              <w:t>.</w:t>
            </w:r>
          </w:p>
        </w:tc>
      </w:tr>
    </w:tbl>
    <w:p w14:paraId="13E0706D" w14:textId="77777777" w:rsidR="002F3A58" w:rsidRDefault="002F3A58" w:rsidP="0076466F">
      <w:pPr>
        <w:rPr>
          <w:lang w:eastAsia="en-GB"/>
        </w:rPr>
      </w:pPr>
    </w:p>
    <w:p w14:paraId="6B4C0892" w14:textId="77777777" w:rsidR="002F3A58" w:rsidRPr="00A26CAF" w:rsidRDefault="002F3A58" w:rsidP="0076466F">
      <w:pPr>
        <w:rPr>
          <w:lang w:eastAsia="en-GB"/>
        </w:rPr>
      </w:pPr>
    </w:p>
    <w:p w14:paraId="4C86D569" w14:textId="0AE776C4" w:rsidR="00086C07" w:rsidRDefault="00086C07" w:rsidP="0076466F">
      <w:pPr>
        <w:pStyle w:val="Heading2"/>
        <w:rPr>
          <w:rFonts w:eastAsia="MS Mincho"/>
          <w:lang w:eastAsia="en-GB"/>
        </w:rPr>
      </w:pPr>
      <w:r w:rsidRPr="00A26CAF">
        <w:rPr>
          <w:rFonts w:eastAsia="MS Mincho"/>
          <w:lang w:eastAsia="en-GB"/>
        </w:rPr>
        <w:t xml:space="preserve">Resources and references </w:t>
      </w:r>
    </w:p>
    <w:p w14:paraId="6CC3F074" w14:textId="4A827B86" w:rsidR="000F533F" w:rsidRDefault="00D10E9C" w:rsidP="000F533F">
      <w:pPr>
        <w:rPr>
          <w:lang w:eastAsia="en-GB"/>
        </w:rPr>
      </w:pPr>
      <w:hyperlink r:id="rId7" w:history="1">
        <w:r w:rsidR="000F533F" w:rsidRPr="00481AD6">
          <w:rPr>
            <w:rStyle w:val="Hyperlink"/>
            <w:lang w:eastAsia="en-GB"/>
          </w:rPr>
          <w:t>https://qi.kentcht.nhs.uk/</w:t>
        </w:r>
      </w:hyperlink>
    </w:p>
    <w:p w14:paraId="628906FB" w14:textId="77777777" w:rsidR="000F533F" w:rsidRPr="000F533F" w:rsidRDefault="000F533F" w:rsidP="000F533F">
      <w:pPr>
        <w:rPr>
          <w:lang w:eastAsia="en-GB"/>
        </w:rPr>
      </w:pPr>
    </w:p>
    <w:p w14:paraId="6BB5E91F" w14:textId="77777777" w:rsidR="00086C07" w:rsidRPr="00A26CAF" w:rsidRDefault="00086C07" w:rsidP="0076466F">
      <w:pPr>
        <w:rPr>
          <w:lang w:eastAsia="en-GB"/>
        </w:rPr>
      </w:pPr>
    </w:p>
    <w:p w14:paraId="6912E099" w14:textId="143F3270" w:rsidR="00E6610C" w:rsidRPr="00E6610C" w:rsidRDefault="00086C07" w:rsidP="00E6610C">
      <w:pPr>
        <w:pStyle w:val="Heading2"/>
        <w:rPr>
          <w:rFonts w:eastAsia="MS Mincho"/>
          <w:lang w:eastAsia="en-GB"/>
        </w:rPr>
      </w:pPr>
      <w:r w:rsidRPr="00A26CAF">
        <w:rPr>
          <w:rFonts w:eastAsia="MS Mincho"/>
          <w:lang w:eastAsia="en-GB"/>
        </w:rPr>
        <w:t>Want to know more?</w:t>
      </w:r>
    </w:p>
    <w:p w14:paraId="52718C4D" w14:textId="77777777" w:rsidR="00953729" w:rsidRPr="00953729" w:rsidRDefault="00953729" w:rsidP="00953729">
      <w:pPr>
        <w:spacing w:after="0" w:line="276" w:lineRule="auto"/>
        <w:rPr>
          <w:rFonts w:asciiTheme="majorHAnsi" w:hAnsiTheme="majorHAnsi" w:cstheme="majorHAnsi"/>
          <w:sz w:val="6"/>
          <w:szCs w:val="6"/>
          <w:lang w:eastAsia="en-GB"/>
        </w:rPr>
      </w:pPr>
    </w:p>
    <w:p w14:paraId="45F7DEE3" w14:textId="715B54BE" w:rsidR="00953729" w:rsidRPr="00E00755" w:rsidRDefault="00953729" w:rsidP="00953729">
      <w:pPr>
        <w:spacing w:after="0" w:line="276" w:lineRule="auto"/>
        <w:ind w:left="360"/>
        <w:rPr>
          <w:rFonts w:asciiTheme="majorHAnsi" w:hAnsiTheme="majorHAnsi" w:cstheme="majorHAnsi"/>
          <w:lang w:eastAsia="en-GB"/>
        </w:rPr>
      </w:pPr>
      <w:r w:rsidRPr="00E00755">
        <w:rPr>
          <w:rFonts w:asciiTheme="majorHAnsi" w:hAnsiTheme="majorHAnsi" w:cstheme="majorHAnsi"/>
          <w:lang w:eastAsia="en-GB"/>
        </w:rPr>
        <w:t>C</w:t>
      </w:r>
      <w:r w:rsidR="003739F8" w:rsidRPr="00E00755">
        <w:rPr>
          <w:rFonts w:asciiTheme="majorHAnsi" w:hAnsiTheme="majorHAnsi" w:cstheme="majorHAnsi"/>
          <w:lang w:eastAsia="en-GB"/>
        </w:rPr>
        <w:t xml:space="preserve">ontact </w:t>
      </w:r>
      <w:r w:rsidR="00E6610C" w:rsidRPr="00E00755">
        <w:rPr>
          <w:rFonts w:asciiTheme="majorHAnsi" w:hAnsiTheme="majorHAnsi" w:cstheme="majorHAnsi"/>
          <w:lang w:eastAsia="en-GB"/>
        </w:rPr>
        <w:t>1</w:t>
      </w:r>
      <w:r w:rsidRPr="00E00755">
        <w:rPr>
          <w:rFonts w:asciiTheme="majorHAnsi" w:hAnsiTheme="majorHAnsi" w:cstheme="majorHAnsi"/>
          <w:lang w:eastAsia="en-GB"/>
        </w:rPr>
        <w:t>:</w:t>
      </w:r>
      <w:r w:rsidR="00E6610C" w:rsidRPr="00E00755">
        <w:rPr>
          <w:rFonts w:asciiTheme="majorHAnsi" w:hAnsiTheme="majorHAnsi" w:cstheme="majorHAnsi"/>
          <w:lang w:eastAsia="en-GB"/>
        </w:rPr>
        <w:t xml:space="preserve"> </w:t>
      </w:r>
    </w:p>
    <w:p w14:paraId="648A01C9" w14:textId="47AE4140" w:rsidR="003739F8" w:rsidRPr="001970CF" w:rsidRDefault="00C96C5F" w:rsidP="00EF147C">
      <w:pPr>
        <w:pStyle w:val="ListParagraph"/>
        <w:numPr>
          <w:ilvl w:val="1"/>
          <w:numId w:val="10"/>
        </w:numPr>
        <w:spacing w:line="276" w:lineRule="auto"/>
        <w:rPr>
          <w:rFonts w:asciiTheme="minorHAnsi" w:eastAsia="ヒラギノ角ゴ Pro W3" w:hAnsiTheme="minorHAnsi" w:cstheme="minorHAnsi"/>
          <w:color w:val="000000"/>
          <w:lang w:val="en-US"/>
        </w:rPr>
      </w:pPr>
      <w:r w:rsidRPr="001970CF">
        <w:rPr>
          <w:rFonts w:asciiTheme="minorHAnsi" w:hAnsiTheme="minorHAnsi" w:cstheme="minorHAnsi"/>
          <w:lang w:eastAsia="en-GB"/>
        </w:rPr>
        <w:t>Shirley Rashid</w:t>
      </w:r>
    </w:p>
    <w:p w14:paraId="1D7360A7" w14:textId="79DFCC3D" w:rsidR="003739F8" w:rsidRPr="001970CF" w:rsidRDefault="00C96C5F" w:rsidP="00EF147C">
      <w:pPr>
        <w:pStyle w:val="ListParagraph"/>
        <w:numPr>
          <w:ilvl w:val="1"/>
          <w:numId w:val="10"/>
        </w:numPr>
        <w:spacing w:line="276" w:lineRule="auto"/>
        <w:rPr>
          <w:rFonts w:asciiTheme="minorHAnsi" w:eastAsia="ヒラギノ角ゴ Pro W3" w:hAnsiTheme="minorHAnsi" w:cstheme="minorHAnsi"/>
          <w:color w:val="000000"/>
          <w:lang w:val="en-US"/>
        </w:rPr>
      </w:pPr>
      <w:r w:rsidRPr="001970CF">
        <w:rPr>
          <w:rFonts w:asciiTheme="minorHAnsi" w:hAnsiTheme="minorHAnsi" w:cstheme="minorHAnsi"/>
          <w:lang w:eastAsia="en-GB"/>
        </w:rPr>
        <w:t xml:space="preserve">Professional Lead for (Adult Services) Occupational Therapy </w:t>
      </w:r>
    </w:p>
    <w:p w14:paraId="6E4F97F8" w14:textId="753AEE17" w:rsidR="003739F8" w:rsidRPr="001970CF" w:rsidRDefault="00C96C5F" w:rsidP="00EF147C">
      <w:pPr>
        <w:pStyle w:val="ListParagraph"/>
        <w:numPr>
          <w:ilvl w:val="1"/>
          <w:numId w:val="10"/>
        </w:numPr>
        <w:spacing w:line="276" w:lineRule="auto"/>
        <w:rPr>
          <w:rFonts w:asciiTheme="minorHAnsi" w:eastAsia="ヒラギノ角ゴ Pro W3" w:hAnsiTheme="minorHAnsi" w:cstheme="minorHAnsi"/>
          <w:color w:val="000000"/>
          <w:lang w:val="en-US"/>
        </w:rPr>
      </w:pPr>
      <w:r w:rsidRPr="001970CF">
        <w:rPr>
          <w:rFonts w:asciiTheme="minorHAnsi" w:hAnsiTheme="minorHAnsi" w:cstheme="minorHAnsi"/>
          <w:lang w:eastAsia="en-GB"/>
        </w:rPr>
        <w:t>Shirley.rashid@nhs.net</w:t>
      </w:r>
    </w:p>
    <w:p w14:paraId="7E85F2DC" w14:textId="732A519B" w:rsidR="003739F8" w:rsidRPr="001970CF" w:rsidRDefault="003739F8" w:rsidP="00EF147C">
      <w:pPr>
        <w:pStyle w:val="ListParagraph"/>
        <w:numPr>
          <w:ilvl w:val="1"/>
          <w:numId w:val="10"/>
        </w:numPr>
        <w:spacing w:line="276" w:lineRule="auto"/>
        <w:rPr>
          <w:rFonts w:asciiTheme="minorHAnsi" w:eastAsia="ヒラギノ角ゴ Pro W3" w:hAnsiTheme="minorHAnsi" w:cstheme="minorHAnsi"/>
          <w:color w:val="000000"/>
          <w:lang w:val="en-US"/>
        </w:rPr>
      </w:pPr>
      <w:r w:rsidRPr="001970CF">
        <w:rPr>
          <w:rFonts w:asciiTheme="minorHAnsi" w:hAnsiTheme="minorHAnsi" w:cstheme="minorHAnsi"/>
          <w:lang w:eastAsia="en-GB"/>
        </w:rPr>
        <w:t>Location &amp; NHS Region if within the UK:</w:t>
      </w:r>
      <w:r w:rsidRPr="001970CF">
        <w:rPr>
          <w:rFonts w:asciiTheme="minorHAnsi" w:eastAsiaTheme="majorEastAsia" w:hAnsiTheme="minorHAnsi" w:cstheme="minorHAnsi"/>
          <w:b/>
          <w:bCs/>
          <w:color w:val="005EB8"/>
          <w:lang w:val="en-US"/>
        </w:rPr>
        <w:t xml:space="preserve"> </w:t>
      </w:r>
      <w:r w:rsidR="00EF147C" w:rsidRPr="001970CF">
        <w:rPr>
          <w:rFonts w:asciiTheme="minorHAnsi" w:eastAsia="ヒラギノ角ゴ Pro W3" w:hAnsiTheme="minorHAnsi" w:cstheme="minorHAnsi"/>
          <w:color w:val="000000"/>
          <w:lang w:val="en-US"/>
        </w:rPr>
        <w:t>Kent Community Health NHS Foundation Trust</w:t>
      </w:r>
    </w:p>
    <w:p w14:paraId="73C2E62B" w14:textId="6D4470DC" w:rsidR="003739F8" w:rsidRPr="001970CF" w:rsidRDefault="003739F8" w:rsidP="00EF147C">
      <w:pPr>
        <w:pStyle w:val="ListParagraph"/>
        <w:numPr>
          <w:ilvl w:val="1"/>
          <w:numId w:val="10"/>
        </w:numPr>
        <w:spacing w:line="276" w:lineRule="auto"/>
        <w:rPr>
          <w:rFonts w:asciiTheme="minorHAnsi" w:eastAsia="ヒラギノ角ゴ Pro W3" w:hAnsiTheme="minorHAnsi" w:cstheme="minorHAnsi"/>
          <w:color w:val="000000"/>
          <w:lang w:val="en-US"/>
        </w:rPr>
      </w:pPr>
      <w:r w:rsidRPr="001970CF">
        <w:rPr>
          <w:rFonts w:asciiTheme="minorHAnsi" w:hAnsiTheme="minorHAnsi" w:cstheme="minorHAnsi"/>
        </w:rPr>
        <w:t>Partner organisations involved</w:t>
      </w:r>
      <w:r w:rsidR="00EF147C" w:rsidRPr="001970CF">
        <w:rPr>
          <w:rFonts w:asciiTheme="minorHAnsi" w:hAnsiTheme="minorHAnsi" w:cstheme="minorHAnsi"/>
        </w:rPr>
        <w:t>:</w:t>
      </w:r>
      <w:r w:rsidR="00EF147C" w:rsidRPr="001970CF">
        <w:rPr>
          <w:rFonts w:asciiTheme="minorHAnsi" w:eastAsia="ヒラギノ角ゴ Pro W3" w:hAnsiTheme="minorHAnsi" w:cstheme="minorHAnsi"/>
          <w:color w:val="000000"/>
          <w:lang w:val="en-US"/>
        </w:rPr>
        <w:t xml:space="preserve"> NHS Kent &amp; Medway Integrated Care Board &amp; NRS HealthCare</w:t>
      </w:r>
    </w:p>
    <w:p w14:paraId="75AA90F8" w14:textId="10EB8772" w:rsidR="000F533F" w:rsidRPr="00EF147C" w:rsidRDefault="00D10E9C" w:rsidP="00EF147C">
      <w:pPr>
        <w:pStyle w:val="ListParagraph"/>
        <w:numPr>
          <w:ilvl w:val="1"/>
          <w:numId w:val="10"/>
        </w:numPr>
        <w:spacing w:line="276" w:lineRule="auto"/>
        <w:rPr>
          <w:rFonts w:asciiTheme="majorHAnsi" w:eastAsia="ヒラギノ角ゴ Pro W3" w:hAnsiTheme="majorHAnsi" w:cstheme="majorHAnsi"/>
          <w:color w:val="000000"/>
          <w:lang w:val="en-US"/>
        </w:rPr>
      </w:pPr>
      <w:hyperlink r:id="rId8" w:history="1">
        <w:r w:rsidR="000F533F" w:rsidRPr="000F533F">
          <w:rPr>
            <w:rStyle w:val="Hyperlink"/>
            <w:rFonts w:asciiTheme="majorHAnsi" w:eastAsia="ヒラギノ角ゴ Pro W3" w:hAnsiTheme="majorHAnsi" w:cstheme="majorHAnsi"/>
          </w:rPr>
          <w:t>Reducing the wait for elbow crutches | Quality Improvement (kentcht.nhs.uk)</w:t>
        </w:r>
      </w:hyperlink>
    </w:p>
    <w:p w14:paraId="6ED37D03" w14:textId="77777777" w:rsidR="00EF147C" w:rsidRPr="000F533F" w:rsidRDefault="00EF147C" w:rsidP="000F533F">
      <w:pPr>
        <w:spacing w:line="276" w:lineRule="auto"/>
        <w:rPr>
          <w:rFonts w:asciiTheme="majorHAnsi" w:eastAsia="ヒラギノ角ゴ Pro W3" w:hAnsiTheme="majorHAnsi" w:cstheme="majorHAnsi"/>
          <w:color w:val="000000"/>
          <w:lang w:val="en-US"/>
        </w:rPr>
      </w:pPr>
    </w:p>
    <w:p w14:paraId="756E6876" w14:textId="77777777" w:rsidR="00086C07" w:rsidRPr="00E00755" w:rsidRDefault="00086C07" w:rsidP="00953729">
      <w:pPr>
        <w:keepNext/>
        <w:keepLines/>
        <w:spacing w:after="0" w:line="276" w:lineRule="auto"/>
        <w:outlineLvl w:val="0"/>
        <w:rPr>
          <w:rFonts w:asciiTheme="majorHAnsi" w:eastAsiaTheme="majorEastAsia" w:hAnsiTheme="majorHAnsi" w:cstheme="majorHAnsi"/>
          <w:sz w:val="8"/>
          <w:szCs w:val="8"/>
          <w:lang w:val="en-US"/>
        </w:rPr>
      </w:pPr>
    </w:p>
    <w:p w14:paraId="321F8F1F" w14:textId="0A33A799" w:rsidR="00086C07" w:rsidRDefault="00086C07" w:rsidP="00E6610C"/>
    <w:sectPr w:rsidR="00086C07">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A4C8" w14:textId="77777777" w:rsidR="00C76A19" w:rsidRDefault="00C76A19" w:rsidP="00A26CAF">
      <w:pPr>
        <w:spacing w:after="0" w:line="240" w:lineRule="auto"/>
      </w:pPr>
      <w:r>
        <w:separator/>
      </w:r>
    </w:p>
  </w:endnote>
  <w:endnote w:type="continuationSeparator" w:id="0">
    <w:p w14:paraId="02C8DFA8" w14:textId="77777777" w:rsidR="00C76A19" w:rsidRDefault="00C76A19" w:rsidP="00A2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360198"/>
      <w:docPartObj>
        <w:docPartGallery w:val="Page Numbers (Bottom of Page)"/>
        <w:docPartUnique/>
      </w:docPartObj>
    </w:sdtPr>
    <w:sdtEndPr>
      <w:rPr>
        <w:rStyle w:val="PageNumber"/>
      </w:rPr>
    </w:sdtEndPr>
    <w:sdtContent>
      <w:p w14:paraId="633E1272" w14:textId="1733B939" w:rsidR="00E6610C" w:rsidRDefault="00E6610C" w:rsidP="00FF6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1CFD7" w14:textId="77777777" w:rsidR="00E6610C" w:rsidRDefault="00E6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1175517"/>
      <w:docPartObj>
        <w:docPartGallery w:val="Page Numbers (Bottom of Page)"/>
        <w:docPartUnique/>
      </w:docPartObj>
    </w:sdtPr>
    <w:sdtEndPr>
      <w:rPr>
        <w:rStyle w:val="PageNumber"/>
      </w:rPr>
    </w:sdtEndPr>
    <w:sdtContent>
      <w:p w14:paraId="72352BC0" w14:textId="56E0E92F" w:rsidR="00E6610C" w:rsidRDefault="00E6610C" w:rsidP="00953729">
        <w:pPr>
          <w:pStyle w:val="Footer"/>
          <w:framePr w:wrap="none" w:vAnchor="text" w:hAnchor="margin" w:xAlign="center"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B1643" w14:textId="77777777" w:rsidR="00E6610C" w:rsidRDefault="00E6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11A8" w14:textId="77777777" w:rsidR="00C76A19" w:rsidRDefault="00C76A19" w:rsidP="00A26CAF">
      <w:pPr>
        <w:spacing w:after="0" w:line="240" w:lineRule="auto"/>
      </w:pPr>
      <w:r>
        <w:separator/>
      </w:r>
    </w:p>
  </w:footnote>
  <w:footnote w:type="continuationSeparator" w:id="0">
    <w:p w14:paraId="54E577EE" w14:textId="77777777" w:rsidR="00C76A19" w:rsidRDefault="00C76A19" w:rsidP="00A2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0797" w14:textId="10960A99" w:rsidR="00E6610C" w:rsidRPr="00E6610C" w:rsidRDefault="00E6610C">
    <w:pPr>
      <w:pStyle w:val="Header"/>
      <w:rPr>
        <w:rStyle w:val="SubtleEmphasis"/>
      </w:rPr>
    </w:pPr>
    <w:r w:rsidRPr="00E6610C">
      <w:rPr>
        <w:rStyle w:val="SubtleEmphasis"/>
      </w:rPr>
      <w:t>Case Study Template – Centre for Sustainable Healthcare (2022)</w:t>
    </w:r>
    <w:r>
      <w:rPr>
        <w:rStyle w:val="SubtleEmphasi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25C"/>
    <w:multiLevelType w:val="hybridMultilevel"/>
    <w:tmpl w:val="1D0E20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10C21FCA"/>
    <w:multiLevelType w:val="hybridMultilevel"/>
    <w:tmpl w:val="0048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C5142"/>
    <w:multiLevelType w:val="hybridMultilevel"/>
    <w:tmpl w:val="35627BE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3D13493D"/>
    <w:multiLevelType w:val="hybridMultilevel"/>
    <w:tmpl w:val="F2AA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C4BCA"/>
    <w:multiLevelType w:val="hybridMultilevel"/>
    <w:tmpl w:val="7A6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82A32"/>
    <w:multiLevelType w:val="hybridMultilevel"/>
    <w:tmpl w:val="572CAD84"/>
    <w:lvl w:ilvl="0" w:tplc="52783A92">
      <w:numFmt w:val="bullet"/>
      <w:lvlText w:val="-"/>
      <w:lvlJc w:val="left"/>
      <w:pPr>
        <w:ind w:left="420" w:hanging="360"/>
      </w:pPr>
      <w:rPr>
        <w:rFonts w:ascii="Calibri Light" w:eastAsia="MS Mincho"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8DF4AE2"/>
    <w:multiLevelType w:val="hybridMultilevel"/>
    <w:tmpl w:val="0F1AB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B6772C"/>
    <w:multiLevelType w:val="hybridMultilevel"/>
    <w:tmpl w:val="8378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77F05"/>
    <w:multiLevelType w:val="hybridMultilevel"/>
    <w:tmpl w:val="724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C7FB7"/>
    <w:multiLevelType w:val="hybridMultilevel"/>
    <w:tmpl w:val="ED42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3"/>
  </w:num>
  <w:num w:numId="6">
    <w:abstractNumId w:val="1"/>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7"/>
    <w:rsid w:val="00086C07"/>
    <w:rsid w:val="000A7C9E"/>
    <w:rsid w:val="000F533F"/>
    <w:rsid w:val="00110F0F"/>
    <w:rsid w:val="001970CF"/>
    <w:rsid w:val="001D3F30"/>
    <w:rsid w:val="00215100"/>
    <w:rsid w:val="002F3A58"/>
    <w:rsid w:val="0036116E"/>
    <w:rsid w:val="003739F8"/>
    <w:rsid w:val="00386CAE"/>
    <w:rsid w:val="004F7669"/>
    <w:rsid w:val="00517182"/>
    <w:rsid w:val="00672C39"/>
    <w:rsid w:val="00693558"/>
    <w:rsid w:val="0076466F"/>
    <w:rsid w:val="007B06DD"/>
    <w:rsid w:val="007C3A00"/>
    <w:rsid w:val="007F23CF"/>
    <w:rsid w:val="0087465E"/>
    <w:rsid w:val="00887E15"/>
    <w:rsid w:val="00953729"/>
    <w:rsid w:val="009E3E90"/>
    <w:rsid w:val="00A26CAF"/>
    <w:rsid w:val="00A273E7"/>
    <w:rsid w:val="00A51364"/>
    <w:rsid w:val="00B02AD4"/>
    <w:rsid w:val="00B46BB0"/>
    <w:rsid w:val="00C062D0"/>
    <w:rsid w:val="00C33FC6"/>
    <w:rsid w:val="00C6179B"/>
    <w:rsid w:val="00C76A19"/>
    <w:rsid w:val="00C96C5F"/>
    <w:rsid w:val="00D10E9C"/>
    <w:rsid w:val="00D526A9"/>
    <w:rsid w:val="00E00755"/>
    <w:rsid w:val="00E1621B"/>
    <w:rsid w:val="00E4643C"/>
    <w:rsid w:val="00E6610C"/>
    <w:rsid w:val="00EE197F"/>
    <w:rsid w:val="00EE7721"/>
    <w:rsid w:val="00EF147C"/>
    <w:rsid w:val="00F15DD5"/>
    <w:rsid w:val="00F85A39"/>
    <w:rsid w:val="00FD2B74"/>
    <w:rsid w:val="00FD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0E5"/>
  <w15:chartTrackingRefBased/>
  <w15:docId w15:val="{A3218726-F102-485F-AF49-E95BDF1A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two">
    <w:name w:val="Heading level two"/>
    <w:basedOn w:val="Normal"/>
    <w:qFormat/>
    <w:rsid w:val="00086C07"/>
    <w:pPr>
      <w:spacing w:before="120" w:after="240" w:line="260" w:lineRule="exact"/>
      <w:jc w:val="center"/>
    </w:pPr>
    <w:rPr>
      <w:rFonts w:ascii="Calibri Light" w:eastAsia="MS Mincho" w:hAnsi="Calibri Light" w:cs="Times New Roman"/>
      <w:b/>
      <w:color w:val="84BD00"/>
      <w:sz w:val="28"/>
      <w:szCs w:val="24"/>
    </w:rPr>
  </w:style>
  <w:style w:type="paragraph" w:customStyle="1" w:styleId="Headinglevelthree">
    <w:name w:val="Heading level three"/>
    <w:basedOn w:val="Headingleveltwo"/>
    <w:qFormat/>
    <w:rsid w:val="00086C07"/>
    <w:pPr>
      <w:spacing w:before="0" w:after="120" w:line="276" w:lineRule="auto"/>
      <w:jc w:val="left"/>
    </w:pPr>
    <w:rPr>
      <w:rFonts w:cs="Calibri"/>
      <w:b w:val="0"/>
      <w:color w:val="13B0C6"/>
      <w:sz w:val="24"/>
      <w:lang w:val="en" w:eastAsia="en-GB"/>
    </w:rPr>
  </w:style>
  <w:style w:type="paragraph" w:customStyle="1" w:styleId="Headinglevelone">
    <w:name w:val="Heading level one"/>
    <w:basedOn w:val="Normal"/>
    <w:qFormat/>
    <w:rsid w:val="00086C07"/>
    <w:pPr>
      <w:spacing w:after="0" w:line="240" w:lineRule="auto"/>
      <w:jc w:val="center"/>
    </w:pPr>
    <w:rPr>
      <w:rFonts w:asciiTheme="majorHAnsi" w:eastAsia="MS Mincho" w:hAnsiTheme="majorHAnsi" w:cs="Calibri"/>
      <w:b/>
      <w:color w:val="13B0C6"/>
      <w:sz w:val="40"/>
      <w:szCs w:val="40"/>
      <w:lang w:val="en"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086C07"/>
    <w:pPr>
      <w:spacing w:after="0" w:line="240" w:lineRule="auto"/>
      <w:ind w:left="720"/>
    </w:pPr>
    <w:rPr>
      <w:rFonts w:ascii="Cambria" w:eastAsia="MS Mincho" w:hAnsi="Cambria" w:cs="Times New Roman"/>
      <w:sz w:val="24"/>
      <w:szCs w:val="24"/>
    </w:rPr>
  </w:style>
  <w:style w:type="table" w:styleId="TableGrid">
    <w:name w:val="Table Grid"/>
    <w:basedOn w:val="TableNormal"/>
    <w:uiPriority w:val="59"/>
    <w:rsid w:val="00086C0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C07"/>
    <w:pPr>
      <w:spacing w:after="120" w:line="276" w:lineRule="auto"/>
    </w:pPr>
    <w:rPr>
      <w:rFonts w:eastAsia="ヒラギノ角ゴ Pro W3" w:cs="Times New Roman"/>
      <w:color w:val="000000"/>
      <w:szCs w:val="20"/>
      <w:lang w:val="en-US"/>
    </w:rPr>
  </w:style>
  <w:style w:type="paragraph" w:customStyle="1" w:styleId="Casestudyheading1">
    <w:name w:val="Case study heading 1"/>
    <w:basedOn w:val="Normal"/>
    <w:link w:val="Casestudyheading1Char"/>
    <w:qFormat/>
    <w:rsid w:val="00086C0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086C07"/>
    <w:rPr>
      <w:rFonts w:ascii="Arial" w:eastAsiaTheme="majorEastAsia" w:hAnsi="Arial" w:cs="Arial"/>
      <w:color w:val="005EB8"/>
      <w:sz w:val="40"/>
      <w:szCs w:val="40"/>
      <w:lang w:val="en-US"/>
    </w:rPr>
  </w:style>
  <w:style w:type="character" w:styleId="Strong">
    <w:name w:val="Strong"/>
    <w:basedOn w:val="DefaultParagraphFont"/>
    <w:uiPriority w:val="22"/>
    <w:qFormat/>
    <w:rsid w:val="00086C07"/>
    <w:rPr>
      <w:b/>
      <w:bCs/>
    </w:rPr>
  </w:style>
  <w:style w:type="paragraph" w:customStyle="1" w:styleId="NHSHeadingone">
    <w:name w:val="NHS Heading one"/>
    <w:basedOn w:val="Heading2"/>
    <w:link w:val="NHSHeadingoneChar"/>
    <w:qFormat/>
    <w:rsid w:val="00086C07"/>
    <w:pPr>
      <w:spacing w:after="200" w:line="300" w:lineRule="auto"/>
    </w:pPr>
    <w:rPr>
      <w:rFonts w:ascii="Arial" w:hAnsi="Arial"/>
      <w:color w:val="005EB8"/>
      <w:sz w:val="36"/>
      <w:szCs w:val="36"/>
      <w:lang w:val="en-US"/>
    </w:rPr>
  </w:style>
  <w:style w:type="character" w:customStyle="1" w:styleId="NHSHeadingoneChar">
    <w:name w:val="NHS Heading one Char"/>
    <w:basedOn w:val="DefaultParagraphFont"/>
    <w:link w:val="NHSHeadingone"/>
    <w:rsid w:val="00086C07"/>
    <w:rPr>
      <w:rFonts w:ascii="Arial" w:eastAsiaTheme="majorEastAsia" w:hAnsi="Arial" w:cstheme="majorBidi"/>
      <w:color w:val="005EB8"/>
      <w:sz w:val="36"/>
      <w:szCs w:val="36"/>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86C07"/>
    <w:rPr>
      <w:rFonts w:ascii="Cambria" w:eastAsia="MS Mincho" w:hAnsi="Cambria" w:cs="Times New Roman"/>
      <w:sz w:val="24"/>
      <w:szCs w:val="24"/>
    </w:rPr>
  </w:style>
  <w:style w:type="character" w:customStyle="1" w:styleId="Heading2Char">
    <w:name w:val="Heading 2 Char"/>
    <w:basedOn w:val="DefaultParagraphFont"/>
    <w:link w:val="Heading2"/>
    <w:uiPriority w:val="9"/>
    <w:rsid w:val="00086C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6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AF"/>
  </w:style>
  <w:style w:type="paragraph" w:styleId="Footer">
    <w:name w:val="footer"/>
    <w:basedOn w:val="Normal"/>
    <w:link w:val="FooterChar"/>
    <w:uiPriority w:val="99"/>
    <w:unhideWhenUsed/>
    <w:rsid w:val="00A2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AF"/>
  </w:style>
  <w:style w:type="paragraph" w:styleId="Title">
    <w:name w:val="Title"/>
    <w:basedOn w:val="Normal"/>
    <w:next w:val="Normal"/>
    <w:link w:val="TitleChar"/>
    <w:uiPriority w:val="10"/>
    <w:qFormat/>
    <w:rsid w:val="00764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6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66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646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66F"/>
    <w:rPr>
      <w:rFonts w:eastAsiaTheme="minorEastAsia"/>
      <w:color w:val="5A5A5A" w:themeColor="text1" w:themeTint="A5"/>
      <w:spacing w:val="15"/>
    </w:rPr>
  </w:style>
  <w:style w:type="character" w:styleId="SubtleEmphasis">
    <w:name w:val="Subtle Emphasis"/>
    <w:basedOn w:val="DefaultParagraphFont"/>
    <w:uiPriority w:val="19"/>
    <w:qFormat/>
    <w:rsid w:val="0076466F"/>
    <w:rPr>
      <w:i/>
      <w:iCs/>
      <w:color w:val="404040" w:themeColor="text1" w:themeTint="BF"/>
    </w:rPr>
  </w:style>
  <w:style w:type="character" w:customStyle="1" w:styleId="Heading3Char">
    <w:name w:val="Heading 3 Char"/>
    <w:basedOn w:val="DefaultParagraphFont"/>
    <w:link w:val="Heading3"/>
    <w:uiPriority w:val="9"/>
    <w:rsid w:val="0076466F"/>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E6610C"/>
  </w:style>
  <w:style w:type="character" w:styleId="Hyperlink">
    <w:name w:val="Hyperlink"/>
    <w:basedOn w:val="DefaultParagraphFont"/>
    <w:uiPriority w:val="99"/>
    <w:unhideWhenUsed/>
    <w:rsid w:val="00E1621B"/>
    <w:rPr>
      <w:color w:val="0563C1" w:themeColor="hyperlink"/>
      <w:u w:val="single"/>
    </w:rPr>
  </w:style>
  <w:style w:type="character" w:styleId="UnresolvedMention">
    <w:name w:val="Unresolved Mention"/>
    <w:basedOn w:val="DefaultParagraphFont"/>
    <w:uiPriority w:val="99"/>
    <w:semiHidden/>
    <w:unhideWhenUsed/>
    <w:rsid w:val="00E1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i.kentcht.nhs.uk/reducing-the-wait-for-elbow-crutch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i.kentch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McLean</dc:creator>
  <cp:keywords/>
  <dc:description/>
  <cp:lastModifiedBy>Rashid Shirley</cp:lastModifiedBy>
  <cp:revision>5</cp:revision>
  <dcterms:created xsi:type="dcterms:W3CDTF">2023-09-19T17:31:00Z</dcterms:created>
  <dcterms:modified xsi:type="dcterms:W3CDTF">2023-09-19T18:07:00Z</dcterms:modified>
</cp:coreProperties>
</file>