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69C8" w14:textId="77777777" w:rsidR="00685F0B" w:rsidRDefault="00685F0B" w:rsidP="00231D4A">
      <w:pPr>
        <w:pStyle w:val="Heading1"/>
        <w:jc w:val="center"/>
        <w:rPr>
          <w:sz w:val="44"/>
          <w:szCs w:val="44"/>
          <w:u w:val="single"/>
        </w:rPr>
      </w:pPr>
    </w:p>
    <w:p w14:paraId="038B051C" w14:textId="1A6A4FD9" w:rsidR="00C53502" w:rsidRPr="00685F0B" w:rsidRDefault="00685F0B" w:rsidP="00231D4A">
      <w:pPr>
        <w:pStyle w:val="Heading1"/>
        <w:jc w:val="center"/>
        <w:rPr>
          <w:sz w:val="44"/>
          <w:szCs w:val="44"/>
          <w:u w:val="single"/>
        </w:rPr>
      </w:pPr>
      <w:r>
        <w:rPr>
          <w:sz w:val="44"/>
          <w:szCs w:val="44"/>
          <w:u w:val="single"/>
        </w:rPr>
        <w:t>The Environmental Impact of</w:t>
      </w:r>
      <w:r w:rsidRPr="00685F0B">
        <w:rPr>
          <w:sz w:val="44"/>
          <w:szCs w:val="44"/>
          <w:u w:val="single"/>
        </w:rPr>
        <w:t xml:space="preserve"> </w:t>
      </w:r>
      <w:r>
        <w:rPr>
          <w:sz w:val="44"/>
          <w:szCs w:val="44"/>
          <w:u w:val="single"/>
        </w:rPr>
        <w:t>S</w:t>
      </w:r>
      <w:r w:rsidRPr="00685F0B">
        <w:rPr>
          <w:sz w:val="44"/>
          <w:szCs w:val="44"/>
          <w:u w:val="single"/>
        </w:rPr>
        <w:t>ingle</w:t>
      </w:r>
      <w:r>
        <w:rPr>
          <w:sz w:val="44"/>
          <w:szCs w:val="44"/>
          <w:u w:val="single"/>
        </w:rPr>
        <w:t>-</w:t>
      </w:r>
      <w:r w:rsidRPr="00685F0B">
        <w:rPr>
          <w:sz w:val="44"/>
          <w:szCs w:val="44"/>
          <w:u w:val="single"/>
        </w:rPr>
        <w:t xml:space="preserve">use </w:t>
      </w:r>
      <w:r>
        <w:rPr>
          <w:sz w:val="44"/>
          <w:szCs w:val="44"/>
          <w:u w:val="single"/>
        </w:rPr>
        <w:t>Verses R</w:t>
      </w:r>
      <w:r w:rsidRPr="00685F0B">
        <w:rPr>
          <w:sz w:val="44"/>
          <w:szCs w:val="44"/>
          <w:u w:val="single"/>
        </w:rPr>
        <w:t xml:space="preserve">eusable </w:t>
      </w:r>
      <w:r>
        <w:rPr>
          <w:sz w:val="44"/>
          <w:szCs w:val="44"/>
          <w:u w:val="single"/>
        </w:rPr>
        <w:t>T</w:t>
      </w:r>
      <w:r w:rsidRPr="00685F0B">
        <w:rPr>
          <w:sz w:val="44"/>
          <w:szCs w:val="44"/>
          <w:u w:val="single"/>
        </w:rPr>
        <w:t>ourniquets at Greater Glasgow &amp; Clyde NHS</w:t>
      </w:r>
    </w:p>
    <w:p w14:paraId="074FB527" w14:textId="5ED55A11" w:rsidR="00B665AD" w:rsidRDefault="00B665AD" w:rsidP="00FC1033">
      <w:pPr>
        <w:jc w:val="both"/>
        <w:rPr>
          <w:u w:val="single"/>
        </w:rPr>
      </w:pPr>
    </w:p>
    <w:p w14:paraId="368581DE" w14:textId="07CAF08E" w:rsidR="000B162F" w:rsidRDefault="000B162F" w:rsidP="000B162F">
      <w:pPr>
        <w:pStyle w:val="Heading2"/>
      </w:pPr>
      <w:r>
        <w:t>Aim</w:t>
      </w:r>
    </w:p>
    <w:p w14:paraId="2A4FABD2" w14:textId="5E876E42" w:rsidR="000B162F" w:rsidRDefault="00E827E0" w:rsidP="0017719E">
      <w:pPr>
        <w:spacing w:after="120" w:line="276" w:lineRule="auto"/>
        <w:jc w:val="both"/>
        <w:rPr>
          <w:bCs/>
        </w:rPr>
      </w:pPr>
      <w:r w:rsidRPr="0048784F">
        <w:rPr>
          <w:bCs/>
        </w:rPr>
        <w:t xml:space="preserve">This report provides </w:t>
      </w:r>
      <w:r w:rsidR="000B162F" w:rsidRPr="0048784F">
        <w:rPr>
          <w:bCs/>
        </w:rPr>
        <w:t>a</w:t>
      </w:r>
      <w:r w:rsidR="000B162F">
        <w:rPr>
          <w:bCs/>
        </w:rPr>
        <w:t xml:space="preserve"> summary of the environmental impact of switching from single-use tourniquets to reusable tourniquets a</w:t>
      </w:r>
      <w:r w:rsidR="00BC41F4">
        <w:rPr>
          <w:bCs/>
        </w:rPr>
        <w:t xml:space="preserve">cross NHS Greater Glasgow &amp; Clyde. </w:t>
      </w:r>
    </w:p>
    <w:p w14:paraId="311DD9A5" w14:textId="04931367" w:rsidR="00BC41F4" w:rsidRPr="00BC41F4" w:rsidRDefault="000B162F" w:rsidP="00BC41F4">
      <w:pPr>
        <w:pStyle w:val="Heading2"/>
      </w:pPr>
      <w:r>
        <w:t>Current situation</w:t>
      </w:r>
      <w:r w:rsidR="00BC41F4">
        <w:rPr>
          <w:rFonts w:ascii="Aptos" w:eastAsia="Times New Roman" w:hAnsi="Aptos"/>
          <w:color w:val="000000"/>
          <w:sz w:val="24"/>
          <w:szCs w:val="24"/>
        </w:rPr>
        <w:t xml:space="preserve"> </w:t>
      </w:r>
    </w:p>
    <w:p w14:paraId="0058A60D" w14:textId="77777777" w:rsidR="00266168" w:rsidRDefault="00BC41F4" w:rsidP="00266168">
      <w:pPr>
        <w:spacing w:after="120" w:line="276" w:lineRule="auto"/>
        <w:jc w:val="both"/>
      </w:pPr>
      <w:r>
        <w:t>From 1</w:t>
      </w:r>
      <w:r w:rsidRPr="00BC41F4">
        <w:rPr>
          <w:vertAlign w:val="superscript"/>
        </w:rPr>
        <w:t>st</w:t>
      </w:r>
      <w:r>
        <w:t xml:space="preserve"> August 2022 to 31</w:t>
      </w:r>
      <w:r w:rsidRPr="00BC41F4">
        <w:rPr>
          <w:vertAlign w:val="superscript"/>
        </w:rPr>
        <w:t>st</w:t>
      </w:r>
      <w:r>
        <w:t xml:space="preserve"> July 2023, </w:t>
      </w:r>
      <w:r w:rsidR="000B162F">
        <w:t xml:space="preserve">1,719,975 single use tourniquets </w:t>
      </w:r>
      <w:r>
        <w:t xml:space="preserve">were procured across NHS Greater Glasgow &amp; Clyde (GGC). </w:t>
      </w:r>
      <w:r w:rsidR="000B162F">
        <w:t xml:space="preserve">Three different </w:t>
      </w:r>
      <w:r w:rsidR="00266168">
        <w:t>brands</w:t>
      </w:r>
      <w:r w:rsidR="000B162F">
        <w:t xml:space="preserve"> of single-use tourniquet are currently being used a</w:t>
      </w:r>
      <w:r>
        <w:t xml:space="preserve">cross GGC: the </w:t>
      </w:r>
      <w:r w:rsidR="000B162F">
        <w:t>Medline band tourniquet, Becton Dickinson (BD) band tourniquet, and Vygon quick release button tourniquet</w:t>
      </w:r>
      <w:r>
        <w:t xml:space="preserve">. Table 1 details the </w:t>
      </w:r>
      <w:r w:rsidR="0000076C">
        <w:t>volume</w:t>
      </w:r>
      <w:r>
        <w:t xml:space="preserve"> procured per year</w:t>
      </w:r>
      <w:r w:rsidR="0017719E">
        <w:t xml:space="preserve"> per tourniquet brand. </w:t>
      </w:r>
      <w:r w:rsidR="00266168">
        <w:t xml:space="preserve">GGC would like to switch to use the reusable Daisygrip tourniquet to support their Net Zero targets. </w:t>
      </w:r>
    </w:p>
    <w:tbl>
      <w:tblPr>
        <w:tblStyle w:val="TableGrid"/>
        <w:tblpPr w:leftFromText="180" w:rightFromText="180" w:vertAnchor="text" w:horzAnchor="margin" w:tblpXSpec="center" w:tblpY="194"/>
        <w:tblW w:w="0" w:type="auto"/>
        <w:tblLook w:val="04A0" w:firstRow="1" w:lastRow="0" w:firstColumn="1" w:lastColumn="0" w:noHBand="0" w:noVBand="1"/>
      </w:tblPr>
      <w:tblGrid>
        <w:gridCol w:w="2289"/>
        <w:gridCol w:w="3992"/>
      </w:tblGrid>
      <w:tr w:rsidR="00266168" w14:paraId="34F65F54" w14:textId="77777777" w:rsidTr="00266168">
        <w:trPr>
          <w:trHeight w:val="290"/>
        </w:trPr>
        <w:tc>
          <w:tcPr>
            <w:tcW w:w="2289" w:type="dxa"/>
            <w:shd w:val="clear" w:color="auto" w:fill="E2EFD9" w:themeFill="accent6" w:themeFillTint="33"/>
          </w:tcPr>
          <w:p w14:paraId="0A9D56FF" w14:textId="77777777" w:rsidR="00266168" w:rsidRPr="00251CCA" w:rsidRDefault="00266168" w:rsidP="00266168">
            <w:pPr>
              <w:rPr>
                <w:b/>
                <w:bCs/>
              </w:rPr>
            </w:pPr>
            <w:r w:rsidRPr="00251CCA">
              <w:rPr>
                <w:b/>
                <w:bCs/>
              </w:rPr>
              <w:t>Brand</w:t>
            </w:r>
          </w:p>
        </w:tc>
        <w:tc>
          <w:tcPr>
            <w:tcW w:w="3992" w:type="dxa"/>
            <w:shd w:val="clear" w:color="auto" w:fill="E2EFD9" w:themeFill="accent6" w:themeFillTint="33"/>
          </w:tcPr>
          <w:p w14:paraId="511F330D" w14:textId="77777777" w:rsidR="00266168" w:rsidRPr="00251CCA" w:rsidRDefault="00266168" w:rsidP="00266168">
            <w:pPr>
              <w:jc w:val="right"/>
              <w:rPr>
                <w:b/>
                <w:bCs/>
              </w:rPr>
            </w:pPr>
            <w:r>
              <w:rPr>
                <w:b/>
                <w:bCs/>
              </w:rPr>
              <w:t>Volume procured per year*</w:t>
            </w:r>
          </w:p>
        </w:tc>
      </w:tr>
      <w:tr w:rsidR="00266168" w14:paraId="75C28D3E" w14:textId="77777777" w:rsidTr="00266168">
        <w:trPr>
          <w:trHeight w:val="290"/>
        </w:trPr>
        <w:tc>
          <w:tcPr>
            <w:tcW w:w="2289" w:type="dxa"/>
          </w:tcPr>
          <w:p w14:paraId="6AB3D8AE" w14:textId="77777777" w:rsidR="00266168" w:rsidRDefault="00266168" w:rsidP="00266168">
            <w:r>
              <w:t>Medline</w:t>
            </w:r>
          </w:p>
        </w:tc>
        <w:tc>
          <w:tcPr>
            <w:tcW w:w="3992" w:type="dxa"/>
          </w:tcPr>
          <w:p w14:paraId="108C69C6" w14:textId="77777777" w:rsidR="00266168" w:rsidRDefault="00266168" w:rsidP="00266168">
            <w:pPr>
              <w:jc w:val="right"/>
            </w:pPr>
            <w:r>
              <w:t>1,318,800</w:t>
            </w:r>
          </w:p>
        </w:tc>
      </w:tr>
      <w:tr w:rsidR="00266168" w14:paraId="2150098F" w14:textId="77777777" w:rsidTr="00266168">
        <w:trPr>
          <w:trHeight w:val="303"/>
        </w:trPr>
        <w:tc>
          <w:tcPr>
            <w:tcW w:w="2289" w:type="dxa"/>
          </w:tcPr>
          <w:p w14:paraId="43B18C31" w14:textId="77777777" w:rsidR="00266168" w:rsidRDefault="00266168" w:rsidP="00266168">
            <w:r>
              <w:t>Vygon</w:t>
            </w:r>
          </w:p>
        </w:tc>
        <w:tc>
          <w:tcPr>
            <w:tcW w:w="3992" w:type="dxa"/>
          </w:tcPr>
          <w:p w14:paraId="0D5C19A2" w14:textId="77777777" w:rsidR="00266168" w:rsidRDefault="00266168" w:rsidP="00266168">
            <w:pPr>
              <w:jc w:val="right"/>
            </w:pPr>
            <w:r>
              <w:t>80,700</w:t>
            </w:r>
          </w:p>
        </w:tc>
      </w:tr>
      <w:tr w:rsidR="00266168" w14:paraId="1CFF08A1" w14:textId="77777777" w:rsidTr="00266168">
        <w:trPr>
          <w:trHeight w:val="290"/>
        </w:trPr>
        <w:tc>
          <w:tcPr>
            <w:tcW w:w="2289" w:type="dxa"/>
          </w:tcPr>
          <w:p w14:paraId="168B8526" w14:textId="77777777" w:rsidR="00266168" w:rsidRDefault="00266168" w:rsidP="00266168">
            <w:r>
              <w:t>BD</w:t>
            </w:r>
          </w:p>
        </w:tc>
        <w:tc>
          <w:tcPr>
            <w:tcW w:w="3992" w:type="dxa"/>
          </w:tcPr>
          <w:p w14:paraId="017FC040" w14:textId="77777777" w:rsidR="00266168" w:rsidRDefault="00266168" w:rsidP="00266168">
            <w:pPr>
              <w:jc w:val="right"/>
            </w:pPr>
            <w:r>
              <w:t>320,475</w:t>
            </w:r>
          </w:p>
        </w:tc>
      </w:tr>
      <w:tr w:rsidR="00266168" w14:paraId="5C3837D1" w14:textId="77777777" w:rsidTr="00266168">
        <w:trPr>
          <w:trHeight w:val="290"/>
        </w:trPr>
        <w:tc>
          <w:tcPr>
            <w:tcW w:w="2289" w:type="dxa"/>
          </w:tcPr>
          <w:p w14:paraId="7EFAD6DC" w14:textId="77777777" w:rsidR="00266168" w:rsidRPr="00251CCA" w:rsidRDefault="00266168" w:rsidP="00266168">
            <w:pPr>
              <w:rPr>
                <w:i/>
                <w:iCs/>
              </w:rPr>
            </w:pPr>
            <w:r w:rsidRPr="00251CCA">
              <w:rPr>
                <w:i/>
                <w:iCs/>
              </w:rPr>
              <w:t>Total</w:t>
            </w:r>
          </w:p>
        </w:tc>
        <w:tc>
          <w:tcPr>
            <w:tcW w:w="3992" w:type="dxa"/>
          </w:tcPr>
          <w:p w14:paraId="7811C179" w14:textId="77777777" w:rsidR="00266168" w:rsidRPr="00251CCA" w:rsidRDefault="00266168" w:rsidP="00266168">
            <w:pPr>
              <w:keepNext/>
              <w:jc w:val="right"/>
              <w:rPr>
                <w:i/>
                <w:iCs/>
              </w:rPr>
            </w:pPr>
            <w:r w:rsidRPr="00251CCA">
              <w:rPr>
                <w:i/>
                <w:iCs/>
              </w:rPr>
              <w:t>1,719,975</w:t>
            </w:r>
          </w:p>
        </w:tc>
      </w:tr>
    </w:tbl>
    <w:p w14:paraId="63B6047C" w14:textId="63E6E73C" w:rsidR="0000076C" w:rsidRDefault="0000076C" w:rsidP="0017719E">
      <w:pPr>
        <w:spacing w:after="120" w:line="276" w:lineRule="auto"/>
        <w:jc w:val="both"/>
      </w:pPr>
    </w:p>
    <w:p w14:paraId="1F7C81A3" w14:textId="77777777" w:rsidR="0017719E" w:rsidRDefault="0017719E" w:rsidP="000B162F"/>
    <w:p w14:paraId="6FC37371" w14:textId="77777777" w:rsidR="0017719E" w:rsidRDefault="0017719E" w:rsidP="000B162F"/>
    <w:p w14:paraId="7174A6B2" w14:textId="77777777" w:rsidR="00266168" w:rsidRDefault="00266168" w:rsidP="000B162F"/>
    <w:p w14:paraId="3A79356C" w14:textId="25E8988B" w:rsidR="00266168" w:rsidRDefault="0017719E" w:rsidP="00266168">
      <w:pPr>
        <w:pStyle w:val="Caption"/>
        <w:ind w:left="720" w:firstLine="720"/>
      </w:pPr>
      <w:r>
        <w:t xml:space="preserve">Table </w:t>
      </w:r>
      <w:r w:rsidR="000B6D50">
        <w:fldChar w:fldCharType="begin"/>
      </w:r>
      <w:r w:rsidR="000B6D50">
        <w:instrText xml:space="preserve"> SEQ Table \* ARABIC </w:instrText>
      </w:r>
      <w:r w:rsidR="000B6D50">
        <w:fldChar w:fldCharType="separate"/>
      </w:r>
      <w:r w:rsidR="006348B2">
        <w:rPr>
          <w:noProof/>
        </w:rPr>
        <w:t>1</w:t>
      </w:r>
      <w:r w:rsidR="000B6D50">
        <w:fldChar w:fldCharType="end"/>
      </w:r>
      <w:r>
        <w:t>: Number of tourniquets procured across GGC NHS per year split by brand</w:t>
      </w:r>
      <w:r>
        <w:br/>
      </w:r>
      <w:r>
        <w:tab/>
        <w:t>* procured between 1</w:t>
      </w:r>
      <w:r w:rsidRPr="0017719E">
        <w:rPr>
          <w:vertAlign w:val="superscript"/>
        </w:rPr>
        <w:t>st</w:t>
      </w:r>
      <w:r>
        <w:t xml:space="preserve"> August 2022 and 31</w:t>
      </w:r>
      <w:r w:rsidRPr="0017719E">
        <w:rPr>
          <w:vertAlign w:val="superscript"/>
        </w:rPr>
        <w:t>st</w:t>
      </w:r>
      <w:r>
        <w:t xml:space="preserve"> July 2023</w:t>
      </w:r>
    </w:p>
    <w:p w14:paraId="75AAA0E8" w14:textId="77777777" w:rsidR="00266168" w:rsidRPr="00266168" w:rsidRDefault="00266168" w:rsidP="00266168"/>
    <w:p w14:paraId="006BB88F" w14:textId="638E75E4" w:rsidR="00251CCA" w:rsidRDefault="00251CCA" w:rsidP="00251CCA">
      <w:pPr>
        <w:pStyle w:val="Heading2"/>
      </w:pPr>
      <w:r>
        <w:t>Methodology</w:t>
      </w:r>
    </w:p>
    <w:p w14:paraId="3A09BEF2" w14:textId="2B4D4F16" w:rsidR="0000076C" w:rsidRDefault="0000076C" w:rsidP="00266168">
      <w:pPr>
        <w:jc w:val="both"/>
      </w:pPr>
      <w:proofErr w:type="spellStart"/>
      <w:r>
        <w:t>Simapro</w:t>
      </w:r>
      <w:proofErr w:type="spellEnd"/>
      <w:r>
        <w:t xml:space="preserve"> was used to undertake a Life Cycle Assessment (LCA) of the three single-use tourniquets as well as the reusable Daisygrip and a Clinell wipe. </w:t>
      </w:r>
      <w:r w:rsidR="00266168">
        <w:t>An LCA is used to evaluate the potential environmental impacts throughout the entire life cycle of a product (</w:t>
      </w:r>
      <w:r w:rsidR="00CA035D">
        <w:t xml:space="preserve">extraction of raw materials, </w:t>
      </w:r>
      <w:r w:rsidR="00266168">
        <w:t xml:space="preserve">production, distribution, use, and end-of-life phases) or service. </w:t>
      </w:r>
    </w:p>
    <w:p w14:paraId="7A43A43F" w14:textId="4E583EBC" w:rsidR="00266168" w:rsidRDefault="00266168" w:rsidP="00266168">
      <w:pPr>
        <w:jc w:val="both"/>
      </w:pPr>
      <w:r>
        <w:t xml:space="preserve">Table 2 details the </w:t>
      </w:r>
      <w:r w:rsidR="00C302A9">
        <w:t xml:space="preserve">assumptions included in the calculations for all tourniquets. For the Daisygrip, one Clinell wipe was included per use as it was assumed that one wipe would be needed to disinfect the Daisygrip in between uses to ensure infection control guidelines are followed. </w:t>
      </w:r>
    </w:p>
    <w:p w14:paraId="6A282B3D" w14:textId="77777777" w:rsidR="00685F0B" w:rsidRDefault="00685F0B" w:rsidP="00266168">
      <w:pPr>
        <w:jc w:val="both"/>
      </w:pPr>
    </w:p>
    <w:p w14:paraId="2FB06443" w14:textId="6241C97E" w:rsidR="000B6D50" w:rsidRDefault="000B6D50" w:rsidP="000B6D50">
      <w:pPr>
        <w:pStyle w:val="Caption"/>
        <w:keepNext/>
      </w:pPr>
    </w:p>
    <w:tbl>
      <w:tblPr>
        <w:tblStyle w:val="TableGrid"/>
        <w:tblW w:w="0" w:type="auto"/>
        <w:tblLook w:val="04A0" w:firstRow="1" w:lastRow="0" w:firstColumn="1" w:lastColumn="0" w:noHBand="0" w:noVBand="1"/>
      </w:tblPr>
      <w:tblGrid>
        <w:gridCol w:w="1040"/>
        <w:gridCol w:w="5476"/>
        <w:gridCol w:w="2500"/>
      </w:tblGrid>
      <w:tr w:rsidR="00C302A9" w14:paraId="6EEB208A" w14:textId="77777777" w:rsidTr="000B6D50">
        <w:tc>
          <w:tcPr>
            <w:tcW w:w="1040" w:type="dxa"/>
          </w:tcPr>
          <w:p w14:paraId="2B3FFAAB" w14:textId="77777777" w:rsidR="00C302A9" w:rsidRPr="00685F0B" w:rsidRDefault="00C302A9" w:rsidP="00251CCA">
            <w:pPr>
              <w:rPr>
                <w:sz w:val="20"/>
                <w:szCs w:val="20"/>
              </w:rPr>
            </w:pPr>
          </w:p>
        </w:tc>
        <w:tc>
          <w:tcPr>
            <w:tcW w:w="5476" w:type="dxa"/>
            <w:shd w:val="clear" w:color="auto" w:fill="E2EFD9" w:themeFill="accent6" w:themeFillTint="33"/>
          </w:tcPr>
          <w:p w14:paraId="508037BB" w14:textId="5EAB5ACC" w:rsidR="00C302A9" w:rsidRPr="00685F0B" w:rsidRDefault="00C302A9" w:rsidP="00251CCA">
            <w:pPr>
              <w:rPr>
                <w:b/>
                <w:bCs/>
                <w:sz w:val="20"/>
                <w:szCs w:val="20"/>
              </w:rPr>
            </w:pPr>
            <w:r w:rsidRPr="00685F0B">
              <w:rPr>
                <w:b/>
                <w:bCs/>
                <w:sz w:val="20"/>
                <w:szCs w:val="20"/>
              </w:rPr>
              <w:t>Inclusions</w:t>
            </w:r>
          </w:p>
        </w:tc>
        <w:tc>
          <w:tcPr>
            <w:tcW w:w="2500" w:type="dxa"/>
            <w:shd w:val="clear" w:color="auto" w:fill="E2EFD9" w:themeFill="accent6" w:themeFillTint="33"/>
          </w:tcPr>
          <w:p w14:paraId="61E6D0F5" w14:textId="04BA26CA" w:rsidR="00C302A9" w:rsidRPr="00685F0B" w:rsidRDefault="00C302A9" w:rsidP="00251CCA">
            <w:pPr>
              <w:rPr>
                <w:b/>
                <w:bCs/>
                <w:sz w:val="20"/>
                <w:szCs w:val="20"/>
              </w:rPr>
            </w:pPr>
            <w:r w:rsidRPr="00685F0B">
              <w:rPr>
                <w:b/>
                <w:bCs/>
                <w:sz w:val="20"/>
                <w:szCs w:val="20"/>
              </w:rPr>
              <w:t>Exclusions</w:t>
            </w:r>
          </w:p>
        </w:tc>
      </w:tr>
      <w:tr w:rsidR="00C302A9" w14:paraId="518A7D59" w14:textId="77777777" w:rsidTr="000B6D50">
        <w:tc>
          <w:tcPr>
            <w:tcW w:w="1040" w:type="dxa"/>
          </w:tcPr>
          <w:p w14:paraId="4D4C50A8" w14:textId="41F3A4B3" w:rsidR="00C302A9" w:rsidRPr="00685F0B" w:rsidRDefault="00C302A9" w:rsidP="00251CCA">
            <w:pPr>
              <w:rPr>
                <w:sz w:val="20"/>
                <w:szCs w:val="20"/>
              </w:rPr>
            </w:pPr>
            <w:r w:rsidRPr="00685F0B">
              <w:rPr>
                <w:sz w:val="20"/>
                <w:szCs w:val="20"/>
              </w:rPr>
              <w:t>Medline</w:t>
            </w:r>
          </w:p>
        </w:tc>
        <w:tc>
          <w:tcPr>
            <w:tcW w:w="5476" w:type="dxa"/>
          </w:tcPr>
          <w:p w14:paraId="7C9E3E39" w14:textId="46D5DB4B" w:rsidR="00C302A9" w:rsidRPr="00685F0B" w:rsidRDefault="00C302A9" w:rsidP="000B6D50">
            <w:pPr>
              <w:rPr>
                <w:sz w:val="20"/>
                <w:szCs w:val="20"/>
              </w:rPr>
            </w:pPr>
            <w:r w:rsidRPr="00685F0B">
              <w:rPr>
                <w:sz w:val="20"/>
                <w:szCs w:val="20"/>
              </w:rPr>
              <w:t>Item raw material:</w:t>
            </w:r>
            <w:r w:rsidRPr="00685F0B">
              <w:rPr>
                <w:i/>
                <w:iCs/>
                <w:sz w:val="20"/>
                <w:szCs w:val="20"/>
              </w:rPr>
              <w:t xml:space="preserve"> synthetic rubber.</w:t>
            </w:r>
          </w:p>
          <w:p w14:paraId="6A8ABA68" w14:textId="064E0211" w:rsidR="00C302A9" w:rsidRPr="00685F0B" w:rsidRDefault="00C302A9" w:rsidP="000B6D50">
            <w:pPr>
              <w:rPr>
                <w:sz w:val="20"/>
                <w:szCs w:val="20"/>
              </w:rPr>
            </w:pPr>
            <w:r w:rsidRPr="00685F0B">
              <w:rPr>
                <w:sz w:val="20"/>
                <w:szCs w:val="20"/>
              </w:rPr>
              <w:t>1</w:t>
            </w:r>
            <w:r w:rsidRPr="00685F0B">
              <w:rPr>
                <w:sz w:val="20"/>
                <w:szCs w:val="20"/>
                <w:vertAlign w:val="superscript"/>
              </w:rPr>
              <w:t>st</w:t>
            </w:r>
            <w:r w:rsidRPr="00685F0B">
              <w:rPr>
                <w:sz w:val="20"/>
                <w:szCs w:val="20"/>
              </w:rPr>
              <w:t xml:space="preserve"> layer of packaging: </w:t>
            </w:r>
            <w:r w:rsidRPr="00685F0B">
              <w:rPr>
                <w:i/>
                <w:iCs/>
                <w:sz w:val="20"/>
                <w:szCs w:val="20"/>
              </w:rPr>
              <w:t>one rubber band per individual tourniquet, cardboard box containing 100 tourniquets, plastic bag inside box containing 100 tourniquets.</w:t>
            </w:r>
            <w:r w:rsidRPr="00685F0B">
              <w:rPr>
                <w:sz w:val="20"/>
                <w:szCs w:val="20"/>
              </w:rPr>
              <w:t xml:space="preserve"> </w:t>
            </w:r>
          </w:p>
          <w:p w14:paraId="6BC1D78F" w14:textId="77777777" w:rsidR="00C302A9" w:rsidRPr="00685F0B" w:rsidRDefault="00C302A9" w:rsidP="000B6D50">
            <w:pPr>
              <w:rPr>
                <w:i/>
                <w:iCs/>
                <w:sz w:val="20"/>
                <w:szCs w:val="20"/>
              </w:rPr>
            </w:pPr>
            <w:r w:rsidRPr="00685F0B">
              <w:rPr>
                <w:sz w:val="20"/>
                <w:szCs w:val="20"/>
              </w:rPr>
              <w:t>2</w:t>
            </w:r>
            <w:r w:rsidRPr="00685F0B">
              <w:rPr>
                <w:sz w:val="20"/>
                <w:szCs w:val="20"/>
                <w:vertAlign w:val="superscript"/>
              </w:rPr>
              <w:t>nd</w:t>
            </w:r>
            <w:r w:rsidRPr="00685F0B">
              <w:rPr>
                <w:sz w:val="20"/>
                <w:szCs w:val="20"/>
              </w:rPr>
              <w:t xml:space="preserve"> layer of packaging: </w:t>
            </w:r>
            <w:r w:rsidRPr="00685F0B">
              <w:rPr>
                <w:i/>
                <w:iCs/>
                <w:sz w:val="20"/>
                <w:szCs w:val="20"/>
              </w:rPr>
              <w:t>shipping cardboard box containing 10 boxes of 100 tourniquets.</w:t>
            </w:r>
          </w:p>
          <w:p w14:paraId="2F0FAFDB" w14:textId="6ADDA607" w:rsidR="00C302A9" w:rsidRPr="00685F0B" w:rsidRDefault="00C302A9" w:rsidP="00251CCA">
            <w:pPr>
              <w:rPr>
                <w:sz w:val="20"/>
                <w:szCs w:val="20"/>
              </w:rPr>
            </w:pPr>
            <w:r w:rsidRPr="00685F0B">
              <w:rPr>
                <w:sz w:val="20"/>
                <w:szCs w:val="20"/>
              </w:rPr>
              <w:t xml:space="preserve">Transport: </w:t>
            </w:r>
            <w:r w:rsidRPr="00685F0B">
              <w:rPr>
                <w:i/>
                <w:iCs/>
                <w:sz w:val="20"/>
                <w:szCs w:val="20"/>
              </w:rPr>
              <w:t xml:space="preserve">Bangkok (country of manufacture) to London </w:t>
            </w:r>
            <w:proofErr w:type="spellStart"/>
            <w:r w:rsidRPr="00685F0B">
              <w:rPr>
                <w:i/>
                <w:iCs/>
                <w:sz w:val="20"/>
                <w:szCs w:val="20"/>
              </w:rPr>
              <w:t>Thamesport</w:t>
            </w:r>
            <w:proofErr w:type="spellEnd"/>
            <w:r w:rsidRPr="00685F0B">
              <w:rPr>
                <w:i/>
                <w:iCs/>
                <w:sz w:val="20"/>
                <w:szCs w:val="20"/>
              </w:rPr>
              <w:t xml:space="preserve"> via container ship. London </w:t>
            </w:r>
            <w:proofErr w:type="spellStart"/>
            <w:r w:rsidRPr="00685F0B">
              <w:rPr>
                <w:i/>
                <w:iCs/>
                <w:sz w:val="20"/>
                <w:szCs w:val="20"/>
              </w:rPr>
              <w:t>Thamesport</w:t>
            </w:r>
            <w:proofErr w:type="spellEnd"/>
            <w:r w:rsidRPr="00685F0B">
              <w:rPr>
                <w:i/>
                <w:iCs/>
                <w:sz w:val="20"/>
                <w:szCs w:val="20"/>
              </w:rPr>
              <w:t xml:space="preserve"> to Glasgow Queen Elizabeth </w:t>
            </w:r>
            <w:r w:rsidR="00E61B3B" w:rsidRPr="00685F0B">
              <w:rPr>
                <w:i/>
                <w:iCs/>
                <w:sz w:val="20"/>
                <w:szCs w:val="20"/>
              </w:rPr>
              <w:t xml:space="preserve">University </w:t>
            </w:r>
            <w:r w:rsidRPr="00685F0B">
              <w:rPr>
                <w:i/>
                <w:iCs/>
                <w:sz w:val="20"/>
                <w:szCs w:val="20"/>
              </w:rPr>
              <w:t xml:space="preserve">Hospital </w:t>
            </w:r>
            <w:r w:rsidR="00E61B3B" w:rsidRPr="00685F0B">
              <w:rPr>
                <w:i/>
                <w:iCs/>
                <w:sz w:val="20"/>
                <w:szCs w:val="20"/>
              </w:rPr>
              <w:t xml:space="preserve">(QEUH) </w:t>
            </w:r>
            <w:r w:rsidRPr="00685F0B">
              <w:rPr>
                <w:i/>
                <w:iCs/>
                <w:sz w:val="20"/>
                <w:szCs w:val="20"/>
              </w:rPr>
              <w:t>via freight lorry.</w:t>
            </w:r>
            <w:r w:rsidRPr="00685F0B">
              <w:rPr>
                <w:sz w:val="20"/>
                <w:szCs w:val="20"/>
              </w:rPr>
              <w:t xml:space="preserve"> </w:t>
            </w:r>
          </w:p>
          <w:p w14:paraId="03BF270F" w14:textId="71DEA9B0" w:rsidR="00C302A9" w:rsidRPr="00685F0B" w:rsidRDefault="00C302A9" w:rsidP="00251CCA">
            <w:pPr>
              <w:rPr>
                <w:sz w:val="20"/>
                <w:szCs w:val="20"/>
              </w:rPr>
            </w:pPr>
            <w:r w:rsidRPr="00685F0B">
              <w:rPr>
                <w:sz w:val="20"/>
                <w:szCs w:val="20"/>
              </w:rPr>
              <w:t>Disposal</w:t>
            </w:r>
          </w:p>
        </w:tc>
        <w:tc>
          <w:tcPr>
            <w:tcW w:w="2500" w:type="dxa"/>
          </w:tcPr>
          <w:p w14:paraId="1D23705B" w14:textId="6AEEE7FD" w:rsidR="00C302A9" w:rsidRPr="00685F0B" w:rsidRDefault="00C302A9" w:rsidP="00251CCA">
            <w:pPr>
              <w:rPr>
                <w:sz w:val="20"/>
                <w:szCs w:val="20"/>
              </w:rPr>
            </w:pPr>
            <w:r w:rsidRPr="00685F0B">
              <w:rPr>
                <w:sz w:val="20"/>
                <w:szCs w:val="20"/>
              </w:rPr>
              <w:t xml:space="preserve">Manufacturing </w:t>
            </w:r>
            <w:r w:rsidR="0032292C">
              <w:rPr>
                <w:sz w:val="20"/>
                <w:szCs w:val="20"/>
              </w:rPr>
              <w:t>primary products into item.</w:t>
            </w:r>
          </w:p>
          <w:p w14:paraId="42E186F5" w14:textId="77777777" w:rsidR="00C302A9" w:rsidRPr="00685F0B" w:rsidRDefault="00C302A9" w:rsidP="00251CCA">
            <w:pPr>
              <w:rPr>
                <w:sz w:val="20"/>
                <w:szCs w:val="20"/>
              </w:rPr>
            </w:pPr>
          </w:p>
          <w:p w14:paraId="574A1EC0" w14:textId="167A23C9" w:rsidR="00C302A9" w:rsidRPr="00685F0B" w:rsidRDefault="00C302A9" w:rsidP="00251CCA">
            <w:pPr>
              <w:rPr>
                <w:sz w:val="20"/>
                <w:szCs w:val="20"/>
              </w:rPr>
            </w:pPr>
            <w:r w:rsidRPr="00685F0B">
              <w:rPr>
                <w:sz w:val="20"/>
                <w:szCs w:val="20"/>
              </w:rPr>
              <w:t xml:space="preserve">Transport from to and from supplier </w:t>
            </w:r>
          </w:p>
        </w:tc>
      </w:tr>
      <w:tr w:rsidR="00C302A9" w14:paraId="3B6E9563" w14:textId="77777777" w:rsidTr="000B6D50">
        <w:tc>
          <w:tcPr>
            <w:tcW w:w="1040" w:type="dxa"/>
          </w:tcPr>
          <w:p w14:paraId="48F791C1" w14:textId="6ECF19D6" w:rsidR="00C302A9" w:rsidRPr="00685F0B" w:rsidRDefault="00C302A9" w:rsidP="00251CCA">
            <w:pPr>
              <w:rPr>
                <w:sz w:val="20"/>
                <w:szCs w:val="20"/>
              </w:rPr>
            </w:pPr>
            <w:r w:rsidRPr="00685F0B">
              <w:rPr>
                <w:sz w:val="20"/>
                <w:szCs w:val="20"/>
              </w:rPr>
              <w:t>Vygon</w:t>
            </w:r>
          </w:p>
        </w:tc>
        <w:tc>
          <w:tcPr>
            <w:tcW w:w="5476" w:type="dxa"/>
          </w:tcPr>
          <w:p w14:paraId="3774B9E8" w14:textId="77777777" w:rsidR="00C302A9" w:rsidRPr="00685F0B" w:rsidRDefault="00C302A9" w:rsidP="00251CCA">
            <w:pPr>
              <w:rPr>
                <w:i/>
                <w:iCs/>
                <w:sz w:val="20"/>
                <w:szCs w:val="20"/>
              </w:rPr>
            </w:pPr>
            <w:r w:rsidRPr="00685F0B">
              <w:rPr>
                <w:sz w:val="20"/>
                <w:szCs w:val="20"/>
              </w:rPr>
              <w:t xml:space="preserve">Item raw materials: </w:t>
            </w:r>
            <w:r w:rsidRPr="00685F0B">
              <w:rPr>
                <w:i/>
                <w:iCs/>
                <w:sz w:val="20"/>
                <w:szCs w:val="20"/>
              </w:rPr>
              <w:t>silicone band, ABS plastic button</w:t>
            </w:r>
          </w:p>
          <w:p w14:paraId="19DFA704" w14:textId="77777777" w:rsidR="00C302A9" w:rsidRPr="00685F0B" w:rsidRDefault="00C302A9" w:rsidP="00251CCA">
            <w:pPr>
              <w:rPr>
                <w:sz w:val="20"/>
                <w:szCs w:val="20"/>
              </w:rPr>
            </w:pPr>
            <w:r w:rsidRPr="00685F0B">
              <w:rPr>
                <w:sz w:val="20"/>
                <w:szCs w:val="20"/>
              </w:rPr>
              <w:t>1</w:t>
            </w:r>
            <w:r w:rsidRPr="00685F0B">
              <w:rPr>
                <w:sz w:val="20"/>
                <w:szCs w:val="20"/>
                <w:vertAlign w:val="superscript"/>
              </w:rPr>
              <w:t>st</w:t>
            </w:r>
            <w:r w:rsidRPr="00685F0B">
              <w:rPr>
                <w:sz w:val="20"/>
                <w:szCs w:val="20"/>
              </w:rPr>
              <w:t xml:space="preserve"> layer of packaging: </w:t>
            </w:r>
            <w:r w:rsidRPr="00685F0B">
              <w:rPr>
                <w:i/>
                <w:iCs/>
                <w:sz w:val="20"/>
                <w:szCs w:val="20"/>
              </w:rPr>
              <w:t>cardboard box containing 100 tourniquets</w:t>
            </w:r>
          </w:p>
          <w:p w14:paraId="1BDBE100" w14:textId="77777777" w:rsidR="00C302A9" w:rsidRPr="00685F0B" w:rsidRDefault="00C302A9" w:rsidP="00251CCA">
            <w:pPr>
              <w:rPr>
                <w:sz w:val="20"/>
                <w:szCs w:val="20"/>
              </w:rPr>
            </w:pPr>
            <w:r w:rsidRPr="00685F0B">
              <w:rPr>
                <w:sz w:val="20"/>
                <w:szCs w:val="20"/>
              </w:rPr>
              <w:t xml:space="preserve">Transport: </w:t>
            </w:r>
            <w:r w:rsidR="00592BC1" w:rsidRPr="00685F0B">
              <w:rPr>
                <w:i/>
                <w:iCs/>
                <w:sz w:val="20"/>
                <w:szCs w:val="20"/>
              </w:rPr>
              <w:t xml:space="preserve">Shanghai (country of manufacture) to London </w:t>
            </w:r>
            <w:proofErr w:type="spellStart"/>
            <w:r w:rsidR="00592BC1" w:rsidRPr="00685F0B">
              <w:rPr>
                <w:i/>
                <w:iCs/>
                <w:sz w:val="20"/>
                <w:szCs w:val="20"/>
              </w:rPr>
              <w:t>Thamesport</w:t>
            </w:r>
            <w:proofErr w:type="spellEnd"/>
            <w:r w:rsidR="00592BC1" w:rsidRPr="00685F0B">
              <w:rPr>
                <w:i/>
                <w:iCs/>
                <w:sz w:val="20"/>
                <w:szCs w:val="20"/>
              </w:rPr>
              <w:t xml:space="preserve"> via container ship. London </w:t>
            </w:r>
            <w:proofErr w:type="spellStart"/>
            <w:r w:rsidR="00592BC1" w:rsidRPr="00685F0B">
              <w:rPr>
                <w:i/>
                <w:iCs/>
                <w:sz w:val="20"/>
                <w:szCs w:val="20"/>
              </w:rPr>
              <w:t>Thamesport</w:t>
            </w:r>
            <w:proofErr w:type="spellEnd"/>
            <w:r w:rsidR="00592BC1" w:rsidRPr="00685F0B">
              <w:rPr>
                <w:i/>
                <w:iCs/>
                <w:sz w:val="20"/>
                <w:szCs w:val="20"/>
              </w:rPr>
              <w:t xml:space="preserve"> to Swindon (supplier) via freight lorry. Swindon to </w:t>
            </w:r>
            <w:r w:rsidR="00E61B3B" w:rsidRPr="00685F0B">
              <w:rPr>
                <w:i/>
                <w:iCs/>
                <w:sz w:val="20"/>
                <w:szCs w:val="20"/>
              </w:rPr>
              <w:t xml:space="preserve">QEUH </w:t>
            </w:r>
            <w:r w:rsidR="00592BC1" w:rsidRPr="00685F0B">
              <w:rPr>
                <w:i/>
                <w:iCs/>
                <w:sz w:val="20"/>
                <w:szCs w:val="20"/>
              </w:rPr>
              <w:t>via freight lorry.</w:t>
            </w:r>
            <w:r w:rsidR="00592BC1" w:rsidRPr="00685F0B">
              <w:rPr>
                <w:sz w:val="20"/>
                <w:szCs w:val="20"/>
              </w:rPr>
              <w:t xml:space="preserve"> </w:t>
            </w:r>
          </w:p>
          <w:p w14:paraId="5C9F6B75" w14:textId="3B3A689A" w:rsidR="00E61B3B" w:rsidRPr="00685F0B" w:rsidRDefault="00E61B3B" w:rsidP="00251CCA">
            <w:pPr>
              <w:rPr>
                <w:sz w:val="20"/>
                <w:szCs w:val="20"/>
              </w:rPr>
            </w:pPr>
            <w:r w:rsidRPr="00685F0B">
              <w:rPr>
                <w:sz w:val="20"/>
                <w:szCs w:val="20"/>
              </w:rPr>
              <w:t>Disposal</w:t>
            </w:r>
          </w:p>
        </w:tc>
        <w:tc>
          <w:tcPr>
            <w:tcW w:w="2500" w:type="dxa"/>
          </w:tcPr>
          <w:p w14:paraId="376DEDAF" w14:textId="77777777" w:rsidR="0032292C" w:rsidRPr="00685F0B" w:rsidRDefault="0032292C" w:rsidP="0032292C">
            <w:pPr>
              <w:rPr>
                <w:sz w:val="20"/>
                <w:szCs w:val="20"/>
              </w:rPr>
            </w:pPr>
            <w:r w:rsidRPr="00685F0B">
              <w:rPr>
                <w:sz w:val="20"/>
                <w:szCs w:val="20"/>
              </w:rPr>
              <w:t xml:space="preserve">Manufacturing </w:t>
            </w:r>
            <w:r>
              <w:rPr>
                <w:sz w:val="20"/>
                <w:szCs w:val="20"/>
              </w:rPr>
              <w:t>primary products into item.</w:t>
            </w:r>
          </w:p>
          <w:p w14:paraId="7F7B64F2" w14:textId="77777777" w:rsidR="00C302A9" w:rsidRPr="00685F0B" w:rsidRDefault="00C302A9" w:rsidP="00251CCA">
            <w:pPr>
              <w:rPr>
                <w:sz w:val="20"/>
                <w:szCs w:val="20"/>
              </w:rPr>
            </w:pPr>
          </w:p>
          <w:p w14:paraId="6AEA593E" w14:textId="3F0E5812" w:rsidR="00592BC1" w:rsidRPr="00685F0B" w:rsidRDefault="00592BC1" w:rsidP="00251CCA">
            <w:pPr>
              <w:rPr>
                <w:sz w:val="20"/>
                <w:szCs w:val="20"/>
              </w:rPr>
            </w:pPr>
            <w:r w:rsidRPr="00685F0B">
              <w:rPr>
                <w:sz w:val="20"/>
                <w:szCs w:val="20"/>
              </w:rPr>
              <w:t>2</w:t>
            </w:r>
            <w:r w:rsidRPr="00685F0B">
              <w:rPr>
                <w:sz w:val="20"/>
                <w:szCs w:val="20"/>
                <w:vertAlign w:val="superscript"/>
              </w:rPr>
              <w:t>nd</w:t>
            </w:r>
            <w:r w:rsidRPr="00685F0B">
              <w:rPr>
                <w:sz w:val="20"/>
                <w:szCs w:val="20"/>
              </w:rPr>
              <w:t xml:space="preserve"> layer of packaging</w:t>
            </w:r>
          </w:p>
        </w:tc>
      </w:tr>
      <w:tr w:rsidR="00C302A9" w14:paraId="5CC0C2D4" w14:textId="77777777" w:rsidTr="000B6D50">
        <w:tc>
          <w:tcPr>
            <w:tcW w:w="1040" w:type="dxa"/>
          </w:tcPr>
          <w:p w14:paraId="1C65C62B" w14:textId="7E6B5E6D" w:rsidR="00C302A9" w:rsidRPr="00685F0B" w:rsidRDefault="00592BC1" w:rsidP="00251CCA">
            <w:pPr>
              <w:rPr>
                <w:sz w:val="20"/>
                <w:szCs w:val="20"/>
              </w:rPr>
            </w:pPr>
            <w:r w:rsidRPr="00685F0B">
              <w:rPr>
                <w:sz w:val="20"/>
                <w:szCs w:val="20"/>
              </w:rPr>
              <w:t>BD</w:t>
            </w:r>
          </w:p>
        </w:tc>
        <w:tc>
          <w:tcPr>
            <w:tcW w:w="5476" w:type="dxa"/>
          </w:tcPr>
          <w:p w14:paraId="39532816" w14:textId="77777777" w:rsidR="00C302A9" w:rsidRPr="00685F0B" w:rsidRDefault="00592BC1" w:rsidP="00251CCA">
            <w:pPr>
              <w:rPr>
                <w:i/>
                <w:iCs/>
                <w:sz w:val="20"/>
                <w:szCs w:val="20"/>
              </w:rPr>
            </w:pPr>
            <w:r w:rsidRPr="00685F0B">
              <w:rPr>
                <w:sz w:val="20"/>
                <w:szCs w:val="20"/>
              </w:rPr>
              <w:t xml:space="preserve">Item raw materials: </w:t>
            </w:r>
            <w:r w:rsidRPr="00685F0B">
              <w:rPr>
                <w:i/>
                <w:iCs/>
                <w:sz w:val="20"/>
                <w:szCs w:val="20"/>
              </w:rPr>
              <w:t>synthetic rubber strap</w:t>
            </w:r>
          </w:p>
          <w:p w14:paraId="458B783C" w14:textId="61926D39" w:rsidR="00592BC1" w:rsidRPr="00685F0B" w:rsidRDefault="00592BC1" w:rsidP="00251CCA">
            <w:pPr>
              <w:rPr>
                <w:sz w:val="20"/>
                <w:szCs w:val="20"/>
              </w:rPr>
            </w:pPr>
            <w:r w:rsidRPr="00685F0B">
              <w:rPr>
                <w:sz w:val="20"/>
                <w:szCs w:val="20"/>
              </w:rPr>
              <w:t>1</w:t>
            </w:r>
            <w:r w:rsidRPr="00685F0B">
              <w:rPr>
                <w:sz w:val="20"/>
                <w:szCs w:val="20"/>
                <w:vertAlign w:val="superscript"/>
              </w:rPr>
              <w:t>st</w:t>
            </w:r>
            <w:r w:rsidRPr="00685F0B">
              <w:rPr>
                <w:sz w:val="20"/>
                <w:szCs w:val="20"/>
              </w:rPr>
              <w:t xml:space="preserve"> layer of packaging: </w:t>
            </w:r>
            <w:r w:rsidRPr="00685F0B">
              <w:rPr>
                <w:i/>
                <w:iCs/>
                <w:sz w:val="20"/>
                <w:szCs w:val="20"/>
              </w:rPr>
              <w:t>cardboard box containing a roll of 25 tourniquets. Cardboard inner cylinder.</w:t>
            </w:r>
          </w:p>
          <w:p w14:paraId="06A350E9" w14:textId="3D89C095" w:rsidR="00592BC1" w:rsidRPr="00685F0B" w:rsidRDefault="00592BC1" w:rsidP="00251CCA">
            <w:pPr>
              <w:rPr>
                <w:i/>
                <w:iCs/>
                <w:sz w:val="20"/>
                <w:szCs w:val="20"/>
              </w:rPr>
            </w:pPr>
            <w:r w:rsidRPr="00685F0B">
              <w:rPr>
                <w:sz w:val="20"/>
                <w:szCs w:val="20"/>
              </w:rPr>
              <w:t xml:space="preserve">Transport: </w:t>
            </w:r>
            <w:r w:rsidRPr="00685F0B">
              <w:rPr>
                <w:i/>
                <w:iCs/>
                <w:sz w:val="20"/>
                <w:szCs w:val="20"/>
              </w:rPr>
              <w:t xml:space="preserve">Madrid (Supplier) to Port of Bilboa via freight lorry. Port of Bilbao to London </w:t>
            </w:r>
            <w:proofErr w:type="spellStart"/>
            <w:r w:rsidRPr="00685F0B">
              <w:rPr>
                <w:i/>
                <w:iCs/>
                <w:sz w:val="20"/>
                <w:szCs w:val="20"/>
              </w:rPr>
              <w:t>Thamesport</w:t>
            </w:r>
            <w:proofErr w:type="spellEnd"/>
            <w:r w:rsidRPr="00685F0B">
              <w:rPr>
                <w:i/>
                <w:iCs/>
                <w:sz w:val="20"/>
                <w:szCs w:val="20"/>
              </w:rPr>
              <w:t xml:space="preserve"> via ship. London </w:t>
            </w:r>
            <w:proofErr w:type="spellStart"/>
            <w:r w:rsidRPr="00685F0B">
              <w:rPr>
                <w:i/>
                <w:iCs/>
                <w:sz w:val="20"/>
                <w:szCs w:val="20"/>
              </w:rPr>
              <w:t>Thamesport</w:t>
            </w:r>
            <w:proofErr w:type="spellEnd"/>
            <w:r w:rsidRPr="00685F0B">
              <w:rPr>
                <w:i/>
                <w:iCs/>
                <w:sz w:val="20"/>
                <w:szCs w:val="20"/>
              </w:rPr>
              <w:t xml:space="preserve"> to </w:t>
            </w:r>
            <w:r w:rsidR="000B6D50" w:rsidRPr="00685F0B">
              <w:rPr>
                <w:i/>
                <w:iCs/>
                <w:sz w:val="20"/>
                <w:szCs w:val="20"/>
              </w:rPr>
              <w:t xml:space="preserve">QEUH </w:t>
            </w:r>
            <w:r w:rsidRPr="00685F0B">
              <w:rPr>
                <w:i/>
                <w:iCs/>
                <w:sz w:val="20"/>
                <w:szCs w:val="20"/>
              </w:rPr>
              <w:t>via freight lorry.</w:t>
            </w:r>
          </w:p>
          <w:p w14:paraId="077012E0" w14:textId="6E69A40C" w:rsidR="00592BC1" w:rsidRPr="00685F0B" w:rsidRDefault="00592BC1" w:rsidP="00251CCA">
            <w:pPr>
              <w:rPr>
                <w:sz w:val="20"/>
                <w:szCs w:val="20"/>
              </w:rPr>
            </w:pPr>
            <w:r w:rsidRPr="00685F0B">
              <w:rPr>
                <w:sz w:val="20"/>
                <w:szCs w:val="20"/>
              </w:rPr>
              <w:t>Disposal</w:t>
            </w:r>
          </w:p>
        </w:tc>
        <w:tc>
          <w:tcPr>
            <w:tcW w:w="2500" w:type="dxa"/>
          </w:tcPr>
          <w:p w14:paraId="0F44229A" w14:textId="77777777" w:rsidR="0032292C" w:rsidRPr="00685F0B" w:rsidRDefault="0032292C" w:rsidP="0032292C">
            <w:pPr>
              <w:rPr>
                <w:sz w:val="20"/>
                <w:szCs w:val="20"/>
              </w:rPr>
            </w:pPr>
            <w:r w:rsidRPr="00685F0B">
              <w:rPr>
                <w:sz w:val="20"/>
                <w:szCs w:val="20"/>
              </w:rPr>
              <w:t xml:space="preserve">Manufacturing </w:t>
            </w:r>
            <w:r>
              <w:rPr>
                <w:sz w:val="20"/>
                <w:szCs w:val="20"/>
              </w:rPr>
              <w:t>primary products into item.</w:t>
            </w:r>
          </w:p>
          <w:p w14:paraId="7FFEAD4A" w14:textId="77777777" w:rsidR="00592BC1" w:rsidRPr="00685F0B" w:rsidRDefault="00592BC1" w:rsidP="00592BC1">
            <w:pPr>
              <w:rPr>
                <w:sz w:val="20"/>
                <w:szCs w:val="20"/>
              </w:rPr>
            </w:pPr>
          </w:p>
          <w:p w14:paraId="25FFBE9E" w14:textId="77777777" w:rsidR="00C302A9" w:rsidRPr="00685F0B" w:rsidRDefault="00592BC1" w:rsidP="00592BC1">
            <w:pPr>
              <w:rPr>
                <w:sz w:val="20"/>
                <w:szCs w:val="20"/>
              </w:rPr>
            </w:pPr>
            <w:r w:rsidRPr="00685F0B">
              <w:rPr>
                <w:sz w:val="20"/>
                <w:szCs w:val="20"/>
              </w:rPr>
              <w:t>2</w:t>
            </w:r>
            <w:r w:rsidRPr="00685F0B">
              <w:rPr>
                <w:sz w:val="20"/>
                <w:szCs w:val="20"/>
                <w:vertAlign w:val="superscript"/>
              </w:rPr>
              <w:t>nd</w:t>
            </w:r>
            <w:r w:rsidRPr="00685F0B">
              <w:rPr>
                <w:sz w:val="20"/>
                <w:szCs w:val="20"/>
              </w:rPr>
              <w:t xml:space="preserve"> layer of packaging</w:t>
            </w:r>
          </w:p>
          <w:p w14:paraId="472FD498" w14:textId="77777777" w:rsidR="00592BC1" w:rsidRPr="00685F0B" w:rsidRDefault="00592BC1" w:rsidP="00592BC1">
            <w:pPr>
              <w:rPr>
                <w:sz w:val="20"/>
                <w:szCs w:val="20"/>
              </w:rPr>
            </w:pPr>
          </w:p>
          <w:p w14:paraId="7190D824" w14:textId="0C3E3F34" w:rsidR="00592BC1" w:rsidRPr="00685F0B" w:rsidRDefault="00592BC1" w:rsidP="00592BC1">
            <w:pPr>
              <w:rPr>
                <w:sz w:val="20"/>
                <w:szCs w:val="20"/>
              </w:rPr>
            </w:pPr>
            <w:r w:rsidRPr="00685F0B">
              <w:rPr>
                <w:sz w:val="20"/>
                <w:szCs w:val="20"/>
              </w:rPr>
              <w:t>Transport from to and from country of manufacture</w:t>
            </w:r>
          </w:p>
        </w:tc>
      </w:tr>
      <w:tr w:rsidR="00C302A9" w14:paraId="62A095B4" w14:textId="77777777" w:rsidTr="000B6D50">
        <w:tc>
          <w:tcPr>
            <w:tcW w:w="1040" w:type="dxa"/>
          </w:tcPr>
          <w:p w14:paraId="69FF32A1" w14:textId="786B0B36" w:rsidR="00C302A9" w:rsidRPr="00685F0B" w:rsidRDefault="00592BC1" w:rsidP="00251CCA">
            <w:pPr>
              <w:rPr>
                <w:sz w:val="20"/>
                <w:szCs w:val="20"/>
              </w:rPr>
            </w:pPr>
            <w:r w:rsidRPr="00685F0B">
              <w:rPr>
                <w:sz w:val="20"/>
                <w:szCs w:val="20"/>
              </w:rPr>
              <w:t>Daisygrip</w:t>
            </w:r>
          </w:p>
        </w:tc>
        <w:tc>
          <w:tcPr>
            <w:tcW w:w="5476" w:type="dxa"/>
          </w:tcPr>
          <w:p w14:paraId="67DF3517" w14:textId="77777777" w:rsidR="00C302A9" w:rsidRPr="00685F0B" w:rsidRDefault="00592BC1" w:rsidP="00251CCA">
            <w:pPr>
              <w:rPr>
                <w:i/>
                <w:iCs/>
                <w:sz w:val="20"/>
                <w:szCs w:val="20"/>
              </w:rPr>
            </w:pPr>
            <w:r w:rsidRPr="00685F0B">
              <w:rPr>
                <w:sz w:val="20"/>
                <w:szCs w:val="20"/>
              </w:rPr>
              <w:t xml:space="preserve">Item raw materials: </w:t>
            </w:r>
            <w:r w:rsidRPr="00685F0B">
              <w:rPr>
                <w:i/>
                <w:iCs/>
                <w:sz w:val="20"/>
                <w:szCs w:val="20"/>
              </w:rPr>
              <w:t xml:space="preserve">silicone band, </w:t>
            </w:r>
            <w:proofErr w:type="gramStart"/>
            <w:r w:rsidRPr="00685F0B">
              <w:rPr>
                <w:i/>
                <w:iCs/>
                <w:sz w:val="20"/>
                <w:szCs w:val="20"/>
              </w:rPr>
              <w:t>nickel</w:t>
            </w:r>
            <w:proofErr w:type="gramEnd"/>
            <w:r w:rsidRPr="00685F0B">
              <w:rPr>
                <w:i/>
                <w:iCs/>
                <w:sz w:val="20"/>
                <w:szCs w:val="20"/>
              </w:rPr>
              <w:t xml:space="preserve"> and co-polyester clasp.</w:t>
            </w:r>
          </w:p>
          <w:p w14:paraId="1DBEB83E" w14:textId="77777777" w:rsidR="00592BC1" w:rsidRPr="00685F0B" w:rsidRDefault="00592BC1" w:rsidP="00251CCA">
            <w:pPr>
              <w:rPr>
                <w:sz w:val="20"/>
                <w:szCs w:val="20"/>
              </w:rPr>
            </w:pPr>
            <w:r w:rsidRPr="00685F0B">
              <w:rPr>
                <w:sz w:val="20"/>
                <w:szCs w:val="20"/>
              </w:rPr>
              <w:t>1</w:t>
            </w:r>
            <w:r w:rsidRPr="00685F0B">
              <w:rPr>
                <w:sz w:val="20"/>
                <w:szCs w:val="20"/>
                <w:vertAlign w:val="superscript"/>
              </w:rPr>
              <w:t>st</w:t>
            </w:r>
            <w:r w:rsidRPr="00685F0B">
              <w:rPr>
                <w:sz w:val="20"/>
                <w:szCs w:val="20"/>
              </w:rPr>
              <w:t xml:space="preserve"> layer of packaging: </w:t>
            </w:r>
            <w:r w:rsidRPr="00685F0B">
              <w:rPr>
                <w:i/>
                <w:iCs/>
                <w:sz w:val="20"/>
                <w:szCs w:val="20"/>
              </w:rPr>
              <w:t xml:space="preserve">one plastic bag per tourniquet, sticky </w:t>
            </w:r>
            <w:proofErr w:type="gramStart"/>
            <w:r w:rsidRPr="00685F0B">
              <w:rPr>
                <w:i/>
                <w:iCs/>
                <w:sz w:val="20"/>
                <w:szCs w:val="20"/>
              </w:rPr>
              <w:t>label</w:t>
            </w:r>
            <w:proofErr w:type="gramEnd"/>
            <w:r w:rsidRPr="00685F0B">
              <w:rPr>
                <w:i/>
                <w:iCs/>
                <w:sz w:val="20"/>
                <w:szCs w:val="20"/>
              </w:rPr>
              <w:t xml:space="preserve"> and batch sticker, A4 info sheet.</w:t>
            </w:r>
          </w:p>
          <w:p w14:paraId="3A6B1D3E" w14:textId="2D5D1FA6" w:rsidR="00592BC1" w:rsidRPr="00685F0B" w:rsidRDefault="00592BC1" w:rsidP="00251CCA">
            <w:pPr>
              <w:rPr>
                <w:i/>
                <w:iCs/>
                <w:sz w:val="20"/>
                <w:szCs w:val="20"/>
              </w:rPr>
            </w:pPr>
            <w:r w:rsidRPr="00685F0B">
              <w:rPr>
                <w:sz w:val="20"/>
                <w:szCs w:val="20"/>
              </w:rPr>
              <w:t>2</w:t>
            </w:r>
            <w:r w:rsidRPr="00685F0B">
              <w:rPr>
                <w:sz w:val="20"/>
                <w:szCs w:val="20"/>
                <w:vertAlign w:val="superscript"/>
              </w:rPr>
              <w:t>nd</w:t>
            </w:r>
            <w:r w:rsidRPr="00685F0B">
              <w:rPr>
                <w:sz w:val="20"/>
                <w:szCs w:val="20"/>
              </w:rPr>
              <w:t xml:space="preserve"> layer of packaging: </w:t>
            </w:r>
            <w:r w:rsidRPr="00685F0B">
              <w:rPr>
                <w:i/>
                <w:iCs/>
                <w:sz w:val="20"/>
                <w:szCs w:val="20"/>
              </w:rPr>
              <w:t xml:space="preserve">cardboard box containing 200 </w:t>
            </w:r>
            <w:proofErr w:type="spellStart"/>
            <w:r w:rsidRPr="00685F0B">
              <w:rPr>
                <w:i/>
                <w:iCs/>
                <w:sz w:val="20"/>
                <w:szCs w:val="20"/>
              </w:rPr>
              <w:t>Daisygrips</w:t>
            </w:r>
            <w:proofErr w:type="spellEnd"/>
            <w:r w:rsidRPr="00685F0B">
              <w:rPr>
                <w:i/>
                <w:iCs/>
                <w:sz w:val="20"/>
                <w:szCs w:val="20"/>
              </w:rPr>
              <w:t xml:space="preserve">. </w:t>
            </w:r>
          </w:p>
          <w:p w14:paraId="0ECDF85A" w14:textId="5738212A" w:rsidR="00592BC1" w:rsidRPr="00685F0B" w:rsidRDefault="000B6D50" w:rsidP="00251CCA">
            <w:pPr>
              <w:rPr>
                <w:i/>
                <w:iCs/>
                <w:sz w:val="20"/>
                <w:szCs w:val="20"/>
              </w:rPr>
            </w:pPr>
            <w:r w:rsidRPr="00685F0B">
              <w:rPr>
                <w:i/>
                <w:iCs/>
                <w:sz w:val="20"/>
                <w:szCs w:val="20"/>
              </w:rPr>
              <w:t xml:space="preserve">Transport: </w:t>
            </w:r>
            <w:r w:rsidR="00592BC1" w:rsidRPr="00685F0B">
              <w:rPr>
                <w:i/>
                <w:iCs/>
                <w:sz w:val="20"/>
                <w:szCs w:val="20"/>
              </w:rPr>
              <w:t xml:space="preserve">Wismar (location of manufacture) to Rotterdam </w:t>
            </w:r>
            <w:r w:rsidR="00E61B3B" w:rsidRPr="00685F0B">
              <w:rPr>
                <w:i/>
                <w:iCs/>
                <w:sz w:val="20"/>
                <w:szCs w:val="20"/>
              </w:rPr>
              <w:t xml:space="preserve">Port </w:t>
            </w:r>
            <w:r w:rsidR="00592BC1" w:rsidRPr="00685F0B">
              <w:rPr>
                <w:i/>
                <w:iCs/>
                <w:sz w:val="20"/>
                <w:szCs w:val="20"/>
              </w:rPr>
              <w:t>via freight lorry</w:t>
            </w:r>
            <w:r w:rsidR="00E61B3B" w:rsidRPr="00685F0B">
              <w:rPr>
                <w:i/>
                <w:iCs/>
                <w:sz w:val="20"/>
                <w:szCs w:val="20"/>
              </w:rPr>
              <w:t xml:space="preserve">. Rotterdam Port to Harwich Port via sea ferry. Harwich Port to Tristel Solutions (Supplier) via freight lorry. Tristel Solutions to QEUH via light commercial vehicle. </w:t>
            </w:r>
          </w:p>
          <w:p w14:paraId="7E462EBD" w14:textId="1F5D29BE" w:rsidR="00592BC1" w:rsidRPr="00685F0B" w:rsidRDefault="00E61B3B" w:rsidP="00251CCA">
            <w:pPr>
              <w:rPr>
                <w:sz w:val="20"/>
                <w:szCs w:val="20"/>
              </w:rPr>
            </w:pPr>
            <w:r w:rsidRPr="00685F0B">
              <w:rPr>
                <w:sz w:val="20"/>
                <w:szCs w:val="20"/>
              </w:rPr>
              <w:t xml:space="preserve">Disposal </w:t>
            </w:r>
          </w:p>
        </w:tc>
        <w:tc>
          <w:tcPr>
            <w:tcW w:w="2500" w:type="dxa"/>
          </w:tcPr>
          <w:p w14:paraId="43F0211F" w14:textId="77777777" w:rsidR="0032292C" w:rsidRPr="00685F0B" w:rsidRDefault="0032292C" w:rsidP="0032292C">
            <w:pPr>
              <w:rPr>
                <w:sz w:val="20"/>
                <w:szCs w:val="20"/>
              </w:rPr>
            </w:pPr>
            <w:r w:rsidRPr="00685F0B">
              <w:rPr>
                <w:sz w:val="20"/>
                <w:szCs w:val="20"/>
              </w:rPr>
              <w:t xml:space="preserve">Manufacturing </w:t>
            </w:r>
            <w:r>
              <w:rPr>
                <w:sz w:val="20"/>
                <w:szCs w:val="20"/>
              </w:rPr>
              <w:t>primary products into item.</w:t>
            </w:r>
          </w:p>
          <w:p w14:paraId="657C0A36" w14:textId="77777777" w:rsidR="00C302A9" w:rsidRPr="00685F0B" w:rsidRDefault="00C302A9" w:rsidP="0032292C">
            <w:pPr>
              <w:rPr>
                <w:sz w:val="20"/>
                <w:szCs w:val="20"/>
              </w:rPr>
            </w:pPr>
          </w:p>
        </w:tc>
      </w:tr>
      <w:tr w:rsidR="00E61B3B" w14:paraId="1786E099" w14:textId="77777777" w:rsidTr="000B6D50">
        <w:tc>
          <w:tcPr>
            <w:tcW w:w="1040" w:type="dxa"/>
          </w:tcPr>
          <w:p w14:paraId="13244694" w14:textId="6F1766E5" w:rsidR="00E61B3B" w:rsidRPr="00685F0B" w:rsidRDefault="00E61B3B" w:rsidP="00251CCA">
            <w:pPr>
              <w:rPr>
                <w:sz w:val="20"/>
                <w:szCs w:val="20"/>
              </w:rPr>
            </w:pPr>
            <w:r w:rsidRPr="00685F0B">
              <w:rPr>
                <w:sz w:val="20"/>
                <w:szCs w:val="20"/>
              </w:rPr>
              <w:t>Clinell wipe</w:t>
            </w:r>
          </w:p>
        </w:tc>
        <w:tc>
          <w:tcPr>
            <w:tcW w:w="5476" w:type="dxa"/>
          </w:tcPr>
          <w:p w14:paraId="3CDE1E39" w14:textId="33AC4270" w:rsidR="00E61B3B" w:rsidRPr="00685F0B" w:rsidRDefault="00E61B3B" w:rsidP="00251CCA">
            <w:pPr>
              <w:rPr>
                <w:sz w:val="20"/>
                <w:szCs w:val="20"/>
              </w:rPr>
            </w:pPr>
            <w:r w:rsidRPr="00685F0B">
              <w:rPr>
                <w:sz w:val="20"/>
                <w:szCs w:val="20"/>
              </w:rPr>
              <w:t xml:space="preserve">Item raw materials: </w:t>
            </w:r>
            <w:proofErr w:type="spellStart"/>
            <w:proofErr w:type="gramStart"/>
            <w:r w:rsidRPr="00685F0B">
              <w:rPr>
                <w:i/>
                <w:iCs/>
                <w:sz w:val="20"/>
                <w:szCs w:val="20"/>
              </w:rPr>
              <w:t>Non woven</w:t>
            </w:r>
            <w:proofErr w:type="spellEnd"/>
            <w:proofErr w:type="gramEnd"/>
            <w:r w:rsidRPr="00685F0B">
              <w:rPr>
                <w:i/>
                <w:iCs/>
                <w:sz w:val="20"/>
                <w:szCs w:val="20"/>
              </w:rPr>
              <w:t xml:space="preserve"> polyester, ammonia</w:t>
            </w:r>
          </w:p>
          <w:p w14:paraId="10EA3536" w14:textId="77777777" w:rsidR="00E61B3B" w:rsidRPr="00685F0B" w:rsidRDefault="00E61B3B" w:rsidP="00251CCA">
            <w:pPr>
              <w:rPr>
                <w:sz w:val="20"/>
                <w:szCs w:val="20"/>
              </w:rPr>
            </w:pPr>
            <w:r w:rsidRPr="00685F0B">
              <w:rPr>
                <w:sz w:val="20"/>
                <w:szCs w:val="20"/>
              </w:rPr>
              <w:t>1</w:t>
            </w:r>
            <w:r w:rsidRPr="00685F0B">
              <w:rPr>
                <w:sz w:val="20"/>
                <w:szCs w:val="20"/>
                <w:vertAlign w:val="superscript"/>
              </w:rPr>
              <w:t>st</w:t>
            </w:r>
            <w:r w:rsidRPr="00685F0B">
              <w:rPr>
                <w:sz w:val="20"/>
                <w:szCs w:val="20"/>
              </w:rPr>
              <w:t xml:space="preserve"> layer of packaging: </w:t>
            </w:r>
            <w:r w:rsidRPr="00685F0B">
              <w:rPr>
                <w:i/>
                <w:iCs/>
                <w:sz w:val="20"/>
                <w:szCs w:val="20"/>
              </w:rPr>
              <w:t>plastic container</w:t>
            </w:r>
          </w:p>
          <w:p w14:paraId="2ED15EA9" w14:textId="77777777" w:rsidR="00E61B3B" w:rsidRPr="00685F0B" w:rsidRDefault="00E61B3B" w:rsidP="00251CCA">
            <w:pPr>
              <w:rPr>
                <w:sz w:val="20"/>
                <w:szCs w:val="20"/>
              </w:rPr>
            </w:pPr>
            <w:r w:rsidRPr="00685F0B">
              <w:rPr>
                <w:sz w:val="20"/>
                <w:szCs w:val="20"/>
              </w:rPr>
              <w:t>2</w:t>
            </w:r>
            <w:r w:rsidRPr="00685F0B">
              <w:rPr>
                <w:sz w:val="20"/>
                <w:szCs w:val="20"/>
                <w:vertAlign w:val="superscript"/>
              </w:rPr>
              <w:t>nd</w:t>
            </w:r>
            <w:r w:rsidRPr="00685F0B">
              <w:rPr>
                <w:sz w:val="20"/>
                <w:szCs w:val="20"/>
              </w:rPr>
              <w:t xml:space="preserve"> layer of packaging: </w:t>
            </w:r>
            <w:r w:rsidRPr="00685F0B">
              <w:rPr>
                <w:i/>
                <w:iCs/>
                <w:sz w:val="20"/>
                <w:szCs w:val="20"/>
              </w:rPr>
              <w:t>cardboard box</w:t>
            </w:r>
          </w:p>
          <w:p w14:paraId="5BE86F59" w14:textId="77777777" w:rsidR="00E61B3B" w:rsidRPr="00685F0B" w:rsidRDefault="00E61B3B" w:rsidP="00251CCA">
            <w:pPr>
              <w:rPr>
                <w:sz w:val="20"/>
                <w:szCs w:val="20"/>
              </w:rPr>
            </w:pPr>
            <w:r w:rsidRPr="00685F0B">
              <w:rPr>
                <w:sz w:val="20"/>
                <w:szCs w:val="20"/>
              </w:rPr>
              <w:t xml:space="preserve">Transport: </w:t>
            </w:r>
            <w:r w:rsidRPr="00685F0B">
              <w:rPr>
                <w:i/>
                <w:iCs/>
                <w:sz w:val="20"/>
                <w:szCs w:val="20"/>
              </w:rPr>
              <w:t xml:space="preserve">China (country of manufacture) to London </w:t>
            </w:r>
            <w:proofErr w:type="spellStart"/>
            <w:r w:rsidRPr="00685F0B">
              <w:rPr>
                <w:i/>
                <w:iCs/>
                <w:sz w:val="20"/>
                <w:szCs w:val="20"/>
              </w:rPr>
              <w:t>Thamesport</w:t>
            </w:r>
            <w:proofErr w:type="spellEnd"/>
            <w:r w:rsidRPr="00685F0B">
              <w:rPr>
                <w:i/>
                <w:iCs/>
                <w:sz w:val="20"/>
                <w:szCs w:val="20"/>
              </w:rPr>
              <w:t xml:space="preserve"> via container ship. London </w:t>
            </w:r>
            <w:proofErr w:type="spellStart"/>
            <w:r w:rsidRPr="00685F0B">
              <w:rPr>
                <w:i/>
                <w:iCs/>
                <w:sz w:val="20"/>
                <w:szCs w:val="20"/>
              </w:rPr>
              <w:t>Thamesport</w:t>
            </w:r>
            <w:proofErr w:type="spellEnd"/>
            <w:r w:rsidRPr="00685F0B">
              <w:rPr>
                <w:i/>
                <w:iCs/>
                <w:sz w:val="20"/>
                <w:szCs w:val="20"/>
              </w:rPr>
              <w:t xml:space="preserve"> to QEUH via freight lorry.</w:t>
            </w:r>
          </w:p>
          <w:p w14:paraId="71B463C5" w14:textId="584541D9" w:rsidR="00E61B3B" w:rsidRPr="00685F0B" w:rsidRDefault="00E61B3B" w:rsidP="00251CCA">
            <w:pPr>
              <w:rPr>
                <w:sz w:val="20"/>
                <w:szCs w:val="20"/>
              </w:rPr>
            </w:pPr>
            <w:r w:rsidRPr="00685F0B">
              <w:rPr>
                <w:sz w:val="20"/>
                <w:szCs w:val="20"/>
              </w:rPr>
              <w:t xml:space="preserve">Disposal </w:t>
            </w:r>
          </w:p>
        </w:tc>
        <w:tc>
          <w:tcPr>
            <w:tcW w:w="2500" w:type="dxa"/>
          </w:tcPr>
          <w:p w14:paraId="6E337E6C" w14:textId="77777777" w:rsidR="0032292C" w:rsidRPr="00685F0B" w:rsidRDefault="0032292C" w:rsidP="0032292C">
            <w:pPr>
              <w:rPr>
                <w:sz w:val="20"/>
                <w:szCs w:val="20"/>
              </w:rPr>
            </w:pPr>
            <w:r w:rsidRPr="00685F0B">
              <w:rPr>
                <w:sz w:val="20"/>
                <w:szCs w:val="20"/>
              </w:rPr>
              <w:t xml:space="preserve">Manufacturing </w:t>
            </w:r>
            <w:r>
              <w:rPr>
                <w:sz w:val="20"/>
                <w:szCs w:val="20"/>
              </w:rPr>
              <w:t>primary products into item.</w:t>
            </w:r>
          </w:p>
          <w:p w14:paraId="4686926C" w14:textId="77777777" w:rsidR="00E61B3B" w:rsidRPr="00685F0B" w:rsidRDefault="00E61B3B" w:rsidP="00E61B3B">
            <w:pPr>
              <w:rPr>
                <w:sz w:val="20"/>
                <w:szCs w:val="20"/>
              </w:rPr>
            </w:pPr>
          </w:p>
          <w:p w14:paraId="30646BC3" w14:textId="68FD6D3F" w:rsidR="00E61B3B" w:rsidRPr="00685F0B" w:rsidRDefault="00E61B3B" w:rsidP="000B6D50">
            <w:pPr>
              <w:keepNext/>
              <w:rPr>
                <w:sz w:val="20"/>
                <w:szCs w:val="20"/>
              </w:rPr>
            </w:pPr>
            <w:r w:rsidRPr="00685F0B">
              <w:rPr>
                <w:sz w:val="20"/>
                <w:szCs w:val="20"/>
              </w:rPr>
              <w:t>Transport from to and from supplier</w:t>
            </w:r>
          </w:p>
        </w:tc>
      </w:tr>
    </w:tbl>
    <w:p w14:paraId="64F9A795" w14:textId="17F65632" w:rsidR="00251CCA" w:rsidRDefault="000B6D50" w:rsidP="000B6D50">
      <w:pPr>
        <w:pStyle w:val="Caption"/>
      </w:pPr>
      <w:r>
        <w:t xml:space="preserve">Table </w:t>
      </w:r>
      <w:r>
        <w:fldChar w:fldCharType="begin"/>
      </w:r>
      <w:r>
        <w:instrText xml:space="preserve"> SEQ Table \* ARABIC </w:instrText>
      </w:r>
      <w:r>
        <w:fldChar w:fldCharType="separate"/>
      </w:r>
      <w:r w:rsidR="006348B2">
        <w:rPr>
          <w:noProof/>
        </w:rPr>
        <w:t>2</w:t>
      </w:r>
      <w:r>
        <w:fldChar w:fldCharType="end"/>
      </w:r>
      <w:r>
        <w:t>: LCA inclusions and exclusions</w:t>
      </w:r>
    </w:p>
    <w:p w14:paraId="19D4A2B5" w14:textId="77777777" w:rsidR="00C92B01" w:rsidRPr="00C92B01" w:rsidRDefault="00C92B01" w:rsidP="00C92B01"/>
    <w:p w14:paraId="190D9749" w14:textId="195A78CA" w:rsidR="00251CCA" w:rsidRDefault="00251CCA" w:rsidP="00251CCA">
      <w:pPr>
        <w:pStyle w:val="Heading2"/>
      </w:pPr>
      <w:r>
        <w:t>Results</w:t>
      </w:r>
    </w:p>
    <w:p w14:paraId="43858A20" w14:textId="18071919" w:rsidR="00251CCA" w:rsidRDefault="00251CCA" w:rsidP="00251CCA">
      <w:pPr>
        <w:pStyle w:val="Heading3"/>
      </w:pPr>
      <w:r>
        <w:t>Environmental impact per tourniquet</w:t>
      </w:r>
    </w:p>
    <w:p w14:paraId="45770AEB" w14:textId="6933EF4F" w:rsidR="00B57EAB" w:rsidRDefault="00B57EAB" w:rsidP="00B57EAB">
      <w:r>
        <w:t xml:space="preserve">Table </w:t>
      </w:r>
      <w:r w:rsidR="000B6D50">
        <w:t>3</w:t>
      </w:r>
      <w:r>
        <w:t xml:space="preserve"> compares environmental impacts of the single use tourniquets and Daisygrip per use. </w:t>
      </w:r>
    </w:p>
    <w:p w14:paraId="20A05835" w14:textId="1EB1849C" w:rsidR="00892265" w:rsidRPr="00892265" w:rsidRDefault="00892265" w:rsidP="00892265">
      <w:pPr>
        <w:pStyle w:val="Heading4"/>
      </w:pPr>
      <w:r>
        <w:lastRenderedPageBreak/>
        <w:t xml:space="preserve">Global warming potential </w:t>
      </w:r>
    </w:p>
    <w:p w14:paraId="359A82A5" w14:textId="162A8E32" w:rsidR="00892265" w:rsidRDefault="00892265" w:rsidP="007F261D">
      <w:pPr>
        <w:spacing w:after="120" w:line="276" w:lineRule="auto"/>
        <w:jc w:val="both"/>
      </w:pPr>
      <w:r>
        <w:t xml:space="preserve">From table </w:t>
      </w:r>
      <w:r w:rsidR="006348B2">
        <w:t>3</w:t>
      </w:r>
      <w:r>
        <w:t xml:space="preserve">, the Daisygrip has a carbon footprint of 0.0208 kgCO2e per use. </w:t>
      </w:r>
      <w:r w:rsidR="007F261D">
        <w:t>99.8% of these GHG emissions can be attributed to the Clinell wipe (0.0207 kgCO2e), and 0.1% can be attributed to the Daisygrip.</w:t>
      </w:r>
    </w:p>
    <w:p w14:paraId="1C90E031" w14:textId="219888C5" w:rsidR="007F261D" w:rsidRDefault="007F261D" w:rsidP="007F261D">
      <w:pPr>
        <w:spacing w:after="120" w:line="276" w:lineRule="auto"/>
        <w:jc w:val="both"/>
      </w:pPr>
      <w:r>
        <w:t xml:space="preserve">Comparing the GHG emissions of the Daisygrip per use with the single use tourniquets, the Daisygrip has an </w:t>
      </w:r>
      <w:r w:rsidR="00A84F08">
        <w:t>57</w:t>
      </w:r>
      <w:r>
        <w:t xml:space="preserve">% lower carbon footprint per use than the Vygon, </w:t>
      </w:r>
      <w:r w:rsidR="00A84F08">
        <w:t>53</w:t>
      </w:r>
      <w:r>
        <w:t xml:space="preserve">% lower than the Medline, and </w:t>
      </w:r>
      <w:r w:rsidR="00A84F08">
        <w:t>44</w:t>
      </w:r>
      <w:r>
        <w:t xml:space="preserve">% lower than the BD tourniquet. </w:t>
      </w:r>
    </w:p>
    <w:p w14:paraId="44A8D701" w14:textId="77777777" w:rsidR="00892265" w:rsidRPr="00B57EAB" w:rsidRDefault="00892265" w:rsidP="00B57EAB"/>
    <w:tbl>
      <w:tblPr>
        <w:tblStyle w:val="TableGrid"/>
        <w:tblW w:w="0" w:type="auto"/>
        <w:tblLook w:val="04A0" w:firstRow="1" w:lastRow="0" w:firstColumn="1" w:lastColumn="0" w:noHBand="0" w:noVBand="1"/>
      </w:tblPr>
      <w:tblGrid>
        <w:gridCol w:w="2405"/>
        <w:gridCol w:w="1418"/>
        <w:gridCol w:w="2126"/>
        <w:gridCol w:w="992"/>
        <w:gridCol w:w="999"/>
        <w:gridCol w:w="1076"/>
      </w:tblGrid>
      <w:tr w:rsidR="00B57EAB" w:rsidRPr="00B57EAB" w14:paraId="58E28779" w14:textId="77777777" w:rsidTr="00B57EAB">
        <w:trPr>
          <w:trHeight w:val="288"/>
        </w:trPr>
        <w:tc>
          <w:tcPr>
            <w:tcW w:w="2405" w:type="dxa"/>
            <w:vMerge w:val="restart"/>
            <w:shd w:val="clear" w:color="auto" w:fill="E2EFD9" w:themeFill="accent6" w:themeFillTint="33"/>
            <w:noWrap/>
            <w:hideMark/>
          </w:tcPr>
          <w:p w14:paraId="7AB2C53C" w14:textId="77777777" w:rsidR="00B57EAB" w:rsidRPr="00B57EAB" w:rsidRDefault="00B57EAB" w:rsidP="00B57EAB">
            <w:pPr>
              <w:spacing w:after="160"/>
              <w:rPr>
                <w:sz w:val="20"/>
                <w:szCs w:val="20"/>
              </w:rPr>
            </w:pPr>
            <w:r w:rsidRPr="00B57EAB">
              <w:rPr>
                <w:sz w:val="20"/>
                <w:szCs w:val="20"/>
              </w:rPr>
              <w:t> </w:t>
            </w:r>
          </w:p>
          <w:p w14:paraId="0966787D" w14:textId="3745821D" w:rsidR="00B57EAB" w:rsidRPr="00B57EAB" w:rsidRDefault="00B57EAB" w:rsidP="00B57EAB">
            <w:pPr>
              <w:rPr>
                <w:sz w:val="20"/>
                <w:szCs w:val="20"/>
              </w:rPr>
            </w:pPr>
            <w:r w:rsidRPr="00B57EAB">
              <w:rPr>
                <w:b/>
                <w:bCs/>
                <w:sz w:val="20"/>
                <w:szCs w:val="20"/>
              </w:rPr>
              <w:t>Impact category</w:t>
            </w:r>
          </w:p>
        </w:tc>
        <w:tc>
          <w:tcPr>
            <w:tcW w:w="1418" w:type="dxa"/>
            <w:vMerge w:val="restart"/>
            <w:shd w:val="clear" w:color="auto" w:fill="E2EFD9" w:themeFill="accent6" w:themeFillTint="33"/>
            <w:noWrap/>
            <w:hideMark/>
          </w:tcPr>
          <w:p w14:paraId="43AD5E28" w14:textId="77777777" w:rsidR="00B57EAB" w:rsidRPr="00B57EAB" w:rsidRDefault="00B57EAB" w:rsidP="00B57EAB">
            <w:pPr>
              <w:spacing w:after="160"/>
              <w:rPr>
                <w:sz w:val="20"/>
                <w:szCs w:val="20"/>
              </w:rPr>
            </w:pPr>
            <w:r w:rsidRPr="00B57EAB">
              <w:rPr>
                <w:sz w:val="20"/>
                <w:szCs w:val="20"/>
              </w:rPr>
              <w:t> </w:t>
            </w:r>
          </w:p>
          <w:p w14:paraId="3B28FF18" w14:textId="6D020782" w:rsidR="00B57EAB" w:rsidRPr="00B57EAB" w:rsidRDefault="00B57EAB" w:rsidP="00B57EAB">
            <w:pPr>
              <w:rPr>
                <w:sz w:val="20"/>
                <w:szCs w:val="20"/>
              </w:rPr>
            </w:pPr>
            <w:r w:rsidRPr="00B57EAB">
              <w:rPr>
                <w:b/>
                <w:bCs/>
                <w:sz w:val="20"/>
                <w:szCs w:val="20"/>
              </w:rPr>
              <w:t>Unit</w:t>
            </w:r>
          </w:p>
        </w:tc>
        <w:tc>
          <w:tcPr>
            <w:tcW w:w="5193" w:type="dxa"/>
            <w:gridSpan w:val="4"/>
            <w:shd w:val="clear" w:color="auto" w:fill="E2EFD9" w:themeFill="accent6" w:themeFillTint="33"/>
            <w:noWrap/>
            <w:hideMark/>
          </w:tcPr>
          <w:p w14:paraId="2ECF1197" w14:textId="77777777" w:rsidR="00B57EAB" w:rsidRPr="00B57EAB" w:rsidRDefault="00B57EAB" w:rsidP="00B57EAB">
            <w:pPr>
              <w:jc w:val="center"/>
              <w:rPr>
                <w:b/>
                <w:bCs/>
                <w:sz w:val="20"/>
                <w:szCs w:val="20"/>
              </w:rPr>
            </w:pPr>
            <w:r w:rsidRPr="00B57EAB">
              <w:rPr>
                <w:b/>
                <w:bCs/>
                <w:sz w:val="20"/>
                <w:szCs w:val="20"/>
              </w:rPr>
              <w:t>Environmental impact per use</w:t>
            </w:r>
          </w:p>
        </w:tc>
      </w:tr>
      <w:tr w:rsidR="00B57EAB" w:rsidRPr="00B57EAB" w14:paraId="5CF36812" w14:textId="77777777" w:rsidTr="00B57EAB">
        <w:trPr>
          <w:trHeight w:val="288"/>
        </w:trPr>
        <w:tc>
          <w:tcPr>
            <w:tcW w:w="2405" w:type="dxa"/>
            <w:vMerge/>
            <w:shd w:val="clear" w:color="auto" w:fill="E2EFD9" w:themeFill="accent6" w:themeFillTint="33"/>
            <w:noWrap/>
            <w:hideMark/>
          </w:tcPr>
          <w:p w14:paraId="057420F3" w14:textId="15550BCF" w:rsidR="00B57EAB" w:rsidRPr="00B57EAB" w:rsidRDefault="00B57EAB" w:rsidP="00B57EAB">
            <w:pPr>
              <w:rPr>
                <w:b/>
                <w:bCs/>
                <w:sz w:val="20"/>
                <w:szCs w:val="20"/>
              </w:rPr>
            </w:pPr>
          </w:p>
        </w:tc>
        <w:tc>
          <w:tcPr>
            <w:tcW w:w="1418" w:type="dxa"/>
            <w:vMerge/>
            <w:shd w:val="clear" w:color="auto" w:fill="E2EFD9" w:themeFill="accent6" w:themeFillTint="33"/>
            <w:noWrap/>
            <w:hideMark/>
          </w:tcPr>
          <w:p w14:paraId="5320C4A5" w14:textId="3CE1F629" w:rsidR="00B57EAB" w:rsidRPr="00B57EAB" w:rsidRDefault="00B57EAB" w:rsidP="00B57EAB">
            <w:pPr>
              <w:rPr>
                <w:b/>
                <w:bCs/>
                <w:sz w:val="20"/>
                <w:szCs w:val="20"/>
              </w:rPr>
            </w:pPr>
          </w:p>
        </w:tc>
        <w:tc>
          <w:tcPr>
            <w:tcW w:w="2126" w:type="dxa"/>
            <w:shd w:val="clear" w:color="auto" w:fill="E2EFD9" w:themeFill="accent6" w:themeFillTint="33"/>
            <w:noWrap/>
            <w:hideMark/>
          </w:tcPr>
          <w:p w14:paraId="2B24DAE4" w14:textId="1A2660F0" w:rsidR="00B57EAB" w:rsidRPr="00B57EAB" w:rsidRDefault="00B57EAB" w:rsidP="00B57EAB">
            <w:pPr>
              <w:jc w:val="right"/>
              <w:rPr>
                <w:b/>
                <w:bCs/>
                <w:sz w:val="20"/>
                <w:szCs w:val="20"/>
              </w:rPr>
            </w:pPr>
            <w:r w:rsidRPr="00B57EAB">
              <w:rPr>
                <w:b/>
                <w:bCs/>
                <w:sz w:val="20"/>
                <w:szCs w:val="20"/>
              </w:rPr>
              <w:t xml:space="preserve">Daisygrip (including 1x </w:t>
            </w:r>
            <w:r>
              <w:rPr>
                <w:b/>
                <w:bCs/>
                <w:sz w:val="20"/>
                <w:szCs w:val="20"/>
              </w:rPr>
              <w:t>Cl</w:t>
            </w:r>
            <w:r w:rsidRPr="00B57EAB">
              <w:rPr>
                <w:b/>
                <w:bCs/>
                <w:sz w:val="20"/>
                <w:szCs w:val="20"/>
              </w:rPr>
              <w:t xml:space="preserve">inell wipe) </w:t>
            </w:r>
          </w:p>
        </w:tc>
        <w:tc>
          <w:tcPr>
            <w:tcW w:w="992" w:type="dxa"/>
            <w:shd w:val="clear" w:color="auto" w:fill="E2EFD9" w:themeFill="accent6" w:themeFillTint="33"/>
            <w:noWrap/>
            <w:hideMark/>
          </w:tcPr>
          <w:p w14:paraId="3FEE145A" w14:textId="77777777" w:rsidR="00B57EAB" w:rsidRPr="00B57EAB" w:rsidRDefault="00B57EAB" w:rsidP="00B57EAB">
            <w:pPr>
              <w:jc w:val="right"/>
              <w:rPr>
                <w:b/>
                <w:bCs/>
                <w:sz w:val="20"/>
                <w:szCs w:val="20"/>
              </w:rPr>
            </w:pPr>
            <w:r w:rsidRPr="00B57EAB">
              <w:rPr>
                <w:b/>
                <w:bCs/>
                <w:sz w:val="20"/>
                <w:szCs w:val="20"/>
              </w:rPr>
              <w:t>Single use BD</w:t>
            </w:r>
          </w:p>
        </w:tc>
        <w:tc>
          <w:tcPr>
            <w:tcW w:w="999" w:type="dxa"/>
            <w:shd w:val="clear" w:color="auto" w:fill="E2EFD9" w:themeFill="accent6" w:themeFillTint="33"/>
            <w:noWrap/>
            <w:hideMark/>
          </w:tcPr>
          <w:p w14:paraId="2B8F8B07" w14:textId="77777777" w:rsidR="00B57EAB" w:rsidRPr="00B57EAB" w:rsidRDefault="00B57EAB" w:rsidP="00B57EAB">
            <w:pPr>
              <w:jc w:val="right"/>
              <w:rPr>
                <w:b/>
                <w:bCs/>
                <w:sz w:val="20"/>
                <w:szCs w:val="20"/>
              </w:rPr>
            </w:pPr>
            <w:r w:rsidRPr="00B57EAB">
              <w:rPr>
                <w:b/>
                <w:bCs/>
                <w:sz w:val="20"/>
                <w:szCs w:val="20"/>
              </w:rPr>
              <w:t>Single use Medline</w:t>
            </w:r>
          </w:p>
        </w:tc>
        <w:tc>
          <w:tcPr>
            <w:tcW w:w="1076" w:type="dxa"/>
            <w:shd w:val="clear" w:color="auto" w:fill="E2EFD9" w:themeFill="accent6" w:themeFillTint="33"/>
            <w:noWrap/>
            <w:hideMark/>
          </w:tcPr>
          <w:p w14:paraId="3CD54636" w14:textId="4D61A231" w:rsidR="00B57EAB" w:rsidRPr="00B57EAB" w:rsidRDefault="00B57EAB" w:rsidP="00B57EAB">
            <w:pPr>
              <w:jc w:val="right"/>
              <w:rPr>
                <w:b/>
                <w:bCs/>
                <w:sz w:val="20"/>
                <w:szCs w:val="20"/>
              </w:rPr>
            </w:pPr>
            <w:r w:rsidRPr="00B57EAB">
              <w:rPr>
                <w:b/>
                <w:bCs/>
                <w:sz w:val="20"/>
                <w:szCs w:val="20"/>
              </w:rPr>
              <w:t>Single use Vygon</w:t>
            </w:r>
          </w:p>
        </w:tc>
      </w:tr>
      <w:tr w:rsidR="00B57EAB" w:rsidRPr="00B57EAB" w14:paraId="354C173B" w14:textId="77777777" w:rsidTr="00B57EAB">
        <w:trPr>
          <w:trHeight w:val="288"/>
        </w:trPr>
        <w:tc>
          <w:tcPr>
            <w:tcW w:w="2405" w:type="dxa"/>
            <w:noWrap/>
            <w:hideMark/>
          </w:tcPr>
          <w:p w14:paraId="00EC6E4F" w14:textId="77777777" w:rsidR="00B57EAB" w:rsidRPr="00B57EAB" w:rsidRDefault="00B57EAB" w:rsidP="00B57EAB">
            <w:pPr>
              <w:rPr>
                <w:sz w:val="20"/>
                <w:szCs w:val="20"/>
              </w:rPr>
            </w:pPr>
            <w:r w:rsidRPr="00B57EAB">
              <w:rPr>
                <w:sz w:val="20"/>
                <w:szCs w:val="20"/>
              </w:rPr>
              <w:t>Global warming</w:t>
            </w:r>
          </w:p>
        </w:tc>
        <w:tc>
          <w:tcPr>
            <w:tcW w:w="1418" w:type="dxa"/>
            <w:noWrap/>
            <w:hideMark/>
          </w:tcPr>
          <w:p w14:paraId="0950722B" w14:textId="77777777" w:rsidR="00B57EAB" w:rsidRPr="00B57EAB" w:rsidRDefault="00B57EAB" w:rsidP="00B57EAB">
            <w:pPr>
              <w:rPr>
                <w:sz w:val="20"/>
                <w:szCs w:val="20"/>
              </w:rPr>
            </w:pPr>
            <w:r w:rsidRPr="00B57EAB">
              <w:rPr>
                <w:sz w:val="20"/>
                <w:szCs w:val="20"/>
              </w:rPr>
              <w:t>kg CO2 eq</w:t>
            </w:r>
          </w:p>
        </w:tc>
        <w:tc>
          <w:tcPr>
            <w:tcW w:w="2126" w:type="dxa"/>
            <w:noWrap/>
            <w:hideMark/>
          </w:tcPr>
          <w:p w14:paraId="6E388834" w14:textId="77777777" w:rsidR="00B57EAB" w:rsidRPr="00B57EAB" w:rsidRDefault="00B57EAB" w:rsidP="00B57EAB">
            <w:pPr>
              <w:jc w:val="right"/>
              <w:rPr>
                <w:sz w:val="20"/>
                <w:szCs w:val="20"/>
              </w:rPr>
            </w:pPr>
            <w:r w:rsidRPr="00B57EAB">
              <w:rPr>
                <w:sz w:val="20"/>
                <w:szCs w:val="20"/>
              </w:rPr>
              <w:t>0.0208</w:t>
            </w:r>
          </w:p>
        </w:tc>
        <w:tc>
          <w:tcPr>
            <w:tcW w:w="992" w:type="dxa"/>
            <w:noWrap/>
            <w:hideMark/>
          </w:tcPr>
          <w:p w14:paraId="09CE1B28" w14:textId="77777777" w:rsidR="00B57EAB" w:rsidRPr="00B57EAB" w:rsidRDefault="00B57EAB" w:rsidP="00B57EAB">
            <w:pPr>
              <w:jc w:val="right"/>
              <w:rPr>
                <w:sz w:val="20"/>
                <w:szCs w:val="20"/>
              </w:rPr>
            </w:pPr>
            <w:r w:rsidRPr="00B57EAB">
              <w:rPr>
                <w:sz w:val="20"/>
                <w:szCs w:val="20"/>
              </w:rPr>
              <w:t>0.0373</w:t>
            </w:r>
          </w:p>
        </w:tc>
        <w:tc>
          <w:tcPr>
            <w:tcW w:w="999" w:type="dxa"/>
            <w:noWrap/>
            <w:hideMark/>
          </w:tcPr>
          <w:p w14:paraId="42F48ABF" w14:textId="77777777" w:rsidR="00B57EAB" w:rsidRPr="00B57EAB" w:rsidRDefault="00B57EAB" w:rsidP="00B57EAB">
            <w:pPr>
              <w:jc w:val="right"/>
              <w:rPr>
                <w:sz w:val="20"/>
                <w:szCs w:val="20"/>
              </w:rPr>
            </w:pPr>
            <w:r w:rsidRPr="00B57EAB">
              <w:rPr>
                <w:sz w:val="20"/>
                <w:szCs w:val="20"/>
              </w:rPr>
              <w:t>0.0444</w:t>
            </w:r>
          </w:p>
        </w:tc>
        <w:tc>
          <w:tcPr>
            <w:tcW w:w="1076" w:type="dxa"/>
            <w:noWrap/>
            <w:hideMark/>
          </w:tcPr>
          <w:p w14:paraId="3A7BAA96" w14:textId="77777777" w:rsidR="00B57EAB" w:rsidRPr="00B57EAB" w:rsidRDefault="00B57EAB" w:rsidP="00B57EAB">
            <w:pPr>
              <w:jc w:val="right"/>
              <w:rPr>
                <w:sz w:val="20"/>
                <w:szCs w:val="20"/>
              </w:rPr>
            </w:pPr>
            <w:r w:rsidRPr="00B57EAB">
              <w:rPr>
                <w:sz w:val="20"/>
                <w:szCs w:val="20"/>
              </w:rPr>
              <w:t>0.0487</w:t>
            </w:r>
          </w:p>
        </w:tc>
      </w:tr>
      <w:tr w:rsidR="00B57EAB" w:rsidRPr="00B57EAB" w14:paraId="00541834" w14:textId="77777777" w:rsidTr="00B57EAB">
        <w:trPr>
          <w:trHeight w:val="288"/>
        </w:trPr>
        <w:tc>
          <w:tcPr>
            <w:tcW w:w="2405" w:type="dxa"/>
            <w:noWrap/>
            <w:hideMark/>
          </w:tcPr>
          <w:p w14:paraId="43240B00" w14:textId="77777777" w:rsidR="00B57EAB" w:rsidRPr="00B57EAB" w:rsidRDefault="00B57EAB" w:rsidP="00B57EAB">
            <w:pPr>
              <w:rPr>
                <w:sz w:val="20"/>
                <w:szCs w:val="20"/>
              </w:rPr>
            </w:pPr>
            <w:r w:rsidRPr="00B57EAB">
              <w:rPr>
                <w:sz w:val="20"/>
                <w:szCs w:val="20"/>
              </w:rPr>
              <w:t>Stratospheric ozone depletion</w:t>
            </w:r>
          </w:p>
        </w:tc>
        <w:tc>
          <w:tcPr>
            <w:tcW w:w="1418" w:type="dxa"/>
            <w:noWrap/>
            <w:hideMark/>
          </w:tcPr>
          <w:p w14:paraId="58C6CD4D" w14:textId="77777777" w:rsidR="00B57EAB" w:rsidRPr="00B57EAB" w:rsidRDefault="00B57EAB" w:rsidP="00B57EAB">
            <w:pPr>
              <w:rPr>
                <w:sz w:val="20"/>
                <w:szCs w:val="20"/>
              </w:rPr>
            </w:pPr>
            <w:r w:rsidRPr="00B57EAB">
              <w:rPr>
                <w:sz w:val="20"/>
                <w:szCs w:val="20"/>
              </w:rPr>
              <w:t>kg CFC11 eq</w:t>
            </w:r>
          </w:p>
        </w:tc>
        <w:tc>
          <w:tcPr>
            <w:tcW w:w="2126" w:type="dxa"/>
            <w:noWrap/>
            <w:hideMark/>
          </w:tcPr>
          <w:p w14:paraId="5DBED5B1" w14:textId="77777777" w:rsidR="00B57EAB" w:rsidRPr="00B57EAB" w:rsidRDefault="00B57EAB" w:rsidP="00B57EAB">
            <w:pPr>
              <w:jc w:val="right"/>
              <w:rPr>
                <w:sz w:val="20"/>
                <w:szCs w:val="20"/>
              </w:rPr>
            </w:pPr>
            <w:r w:rsidRPr="00B57EAB">
              <w:rPr>
                <w:sz w:val="20"/>
                <w:szCs w:val="20"/>
              </w:rPr>
              <w:t>5.14E-08</w:t>
            </w:r>
          </w:p>
        </w:tc>
        <w:tc>
          <w:tcPr>
            <w:tcW w:w="992" w:type="dxa"/>
            <w:noWrap/>
            <w:hideMark/>
          </w:tcPr>
          <w:p w14:paraId="7D18D584" w14:textId="77777777" w:rsidR="00B57EAB" w:rsidRPr="00B57EAB" w:rsidRDefault="00B57EAB" w:rsidP="00B57EAB">
            <w:pPr>
              <w:jc w:val="right"/>
              <w:rPr>
                <w:sz w:val="20"/>
                <w:szCs w:val="20"/>
              </w:rPr>
            </w:pPr>
            <w:r w:rsidRPr="00B57EAB">
              <w:rPr>
                <w:sz w:val="20"/>
                <w:szCs w:val="20"/>
              </w:rPr>
              <w:t>1.06E-08</w:t>
            </w:r>
          </w:p>
        </w:tc>
        <w:tc>
          <w:tcPr>
            <w:tcW w:w="999" w:type="dxa"/>
            <w:noWrap/>
            <w:hideMark/>
          </w:tcPr>
          <w:p w14:paraId="3CC43093" w14:textId="77777777" w:rsidR="00B57EAB" w:rsidRPr="00B57EAB" w:rsidRDefault="00B57EAB" w:rsidP="00B57EAB">
            <w:pPr>
              <w:jc w:val="right"/>
              <w:rPr>
                <w:sz w:val="20"/>
                <w:szCs w:val="20"/>
              </w:rPr>
            </w:pPr>
            <w:r w:rsidRPr="00B57EAB">
              <w:rPr>
                <w:sz w:val="20"/>
                <w:szCs w:val="20"/>
              </w:rPr>
              <w:t>1.13E-08</w:t>
            </w:r>
          </w:p>
        </w:tc>
        <w:tc>
          <w:tcPr>
            <w:tcW w:w="1076" w:type="dxa"/>
            <w:noWrap/>
            <w:hideMark/>
          </w:tcPr>
          <w:p w14:paraId="4D88488D" w14:textId="77777777" w:rsidR="00B57EAB" w:rsidRPr="00B57EAB" w:rsidRDefault="00B57EAB" w:rsidP="00B57EAB">
            <w:pPr>
              <w:jc w:val="right"/>
              <w:rPr>
                <w:sz w:val="20"/>
                <w:szCs w:val="20"/>
              </w:rPr>
            </w:pPr>
            <w:r w:rsidRPr="00B57EAB">
              <w:rPr>
                <w:sz w:val="20"/>
                <w:szCs w:val="20"/>
              </w:rPr>
              <w:t>2.52E-08</w:t>
            </w:r>
          </w:p>
        </w:tc>
      </w:tr>
      <w:tr w:rsidR="00B57EAB" w:rsidRPr="00B57EAB" w14:paraId="646992B7" w14:textId="77777777" w:rsidTr="00B57EAB">
        <w:trPr>
          <w:trHeight w:val="288"/>
        </w:trPr>
        <w:tc>
          <w:tcPr>
            <w:tcW w:w="2405" w:type="dxa"/>
            <w:noWrap/>
            <w:hideMark/>
          </w:tcPr>
          <w:p w14:paraId="3531213D" w14:textId="77777777" w:rsidR="00B57EAB" w:rsidRPr="00B57EAB" w:rsidRDefault="00B57EAB" w:rsidP="00B57EAB">
            <w:pPr>
              <w:rPr>
                <w:sz w:val="20"/>
                <w:szCs w:val="20"/>
              </w:rPr>
            </w:pPr>
            <w:r w:rsidRPr="00B57EAB">
              <w:rPr>
                <w:sz w:val="20"/>
                <w:szCs w:val="20"/>
              </w:rPr>
              <w:t>Ionizing radiation</w:t>
            </w:r>
          </w:p>
        </w:tc>
        <w:tc>
          <w:tcPr>
            <w:tcW w:w="1418" w:type="dxa"/>
            <w:noWrap/>
            <w:hideMark/>
          </w:tcPr>
          <w:p w14:paraId="38D4EA4B" w14:textId="77777777" w:rsidR="00B57EAB" w:rsidRPr="00B57EAB" w:rsidRDefault="00B57EAB" w:rsidP="00B57EAB">
            <w:pPr>
              <w:rPr>
                <w:sz w:val="20"/>
                <w:szCs w:val="20"/>
              </w:rPr>
            </w:pPr>
            <w:r w:rsidRPr="00B57EAB">
              <w:rPr>
                <w:sz w:val="20"/>
                <w:szCs w:val="20"/>
              </w:rPr>
              <w:t>kBq Co-60 eq</w:t>
            </w:r>
          </w:p>
        </w:tc>
        <w:tc>
          <w:tcPr>
            <w:tcW w:w="2126" w:type="dxa"/>
            <w:noWrap/>
            <w:hideMark/>
          </w:tcPr>
          <w:p w14:paraId="5B2D0BE5" w14:textId="77777777" w:rsidR="00B57EAB" w:rsidRPr="00B57EAB" w:rsidRDefault="00B57EAB" w:rsidP="00B57EAB">
            <w:pPr>
              <w:jc w:val="right"/>
              <w:rPr>
                <w:sz w:val="20"/>
                <w:szCs w:val="20"/>
              </w:rPr>
            </w:pPr>
            <w:r w:rsidRPr="00B57EAB">
              <w:rPr>
                <w:sz w:val="20"/>
                <w:szCs w:val="20"/>
              </w:rPr>
              <w:t>7.83E-04</w:t>
            </w:r>
          </w:p>
        </w:tc>
        <w:tc>
          <w:tcPr>
            <w:tcW w:w="992" w:type="dxa"/>
            <w:noWrap/>
            <w:hideMark/>
          </w:tcPr>
          <w:p w14:paraId="6A2E496C" w14:textId="77777777" w:rsidR="00B57EAB" w:rsidRPr="00B57EAB" w:rsidRDefault="00B57EAB" w:rsidP="00B57EAB">
            <w:pPr>
              <w:jc w:val="right"/>
              <w:rPr>
                <w:sz w:val="20"/>
                <w:szCs w:val="20"/>
              </w:rPr>
            </w:pPr>
            <w:r w:rsidRPr="00B57EAB">
              <w:rPr>
                <w:sz w:val="20"/>
                <w:szCs w:val="20"/>
              </w:rPr>
              <w:t>1.59E-03</w:t>
            </w:r>
          </w:p>
        </w:tc>
        <w:tc>
          <w:tcPr>
            <w:tcW w:w="999" w:type="dxa"/>
            <w:noWrap/>
            <w:hideMark/>
          </w:tcPr>
          <w:p w14:paraId="0CC3B065" w14:textId="77777777" w:rsidR="00B57EAB" w:rsidRPr="00B57EAB" w:rsidRDefault="00B57EAB" w:rsidP="00B57EAB">
            <w:pPr>
              <w:jc w:val="right"/>
              <w:rPr>
                <w:sz w:val="20"/>
                <w:szCs w:val="20"/>
              </w:rPr>
            </w:pPr>
            <w:r w:rsidRPr="00B57EAB">
              <w:rPr>
                <w:sz w:val="20"/>
                <w:szCs w:val="20"/>
              </w:rPr>
              <w:t>1.88E-03</w:t>
            </w:r>
          </w:p>
        </w:tc>
        <w:tc>
          <w:tcPr>
            <w:tcW w:w="1076" w:type="dxa"/>
            <w:noWrap/>
            <w:hideMark/>
          </w:tcPr>
          <w:p w14:paraId="4A52C558" w14:textId="77777777" w:rsidR="00B57EAB" w:rsidRPr="00B57EAB" w:rsidRDefault="00B57EAB" w:rsidP="00B57EAB">
            <w:pPr>
              <w:jc w:val="right"/>
              <w:rPr>
                <w:sz w:val="20"/>
                <w:szCs w:val="20"/>
              </w:rPr>
            </w:pPr>
            <w:r w:rsidRPr="00B57EAB">
              <w:rPr>
                <w:sz w:val="20"/>
                <w:szCs w:val="20"/>
              </w:rPr>
              <w:t>1.44E-03</w:t>
            </w:r>
          </w:p>
        </w:tc>
      </w:tr>
      <w:tr w:rsidR="00B57EAB" w:rsidRPr="00B57EAB" w14:paraId="11488D70" w14:textId="77777777" w:rsidTr="00B57EAB">
        <w:trPr>
          <w:trHeight w:val="288"/>
        </w:trPr>
        <w:tc>
          <w:tcPr>
            <w:tcW w:w="2405" w:type="dxa"/>
            <w:noWrap/>
            <w:hideMark/>
          </w:tcPr>
          <w:p w14:paraId="412E56D7" w14:textId="77777777" w:rsidR="00B57EAB" w:rsidRPr="00B57EAB" w:rsidRDefault="00B57EAB" w:rsidP="00B57EAB">
            <w:pPr>
              <w:rPr>
                <w:sz w:val="20"/>
                <w:szCs w:val="20"/>
              </w:rPr>
            </w:pPr>
            <w:r w:rsidRPr="00B57EAB">
              <w:rPr>
                <w:sz w:val="20"/>
                <w:szCs w:val="20"/>
              </w:rPr>
              <w:t>Ozone formation, Human health</w:t>
            </w:r>
          </w:p>
        </w:tc>
        <w:tc>
          <w:tcPr>
            <w:tcW w:w="1418" w:type="dxa"/>
            <w:noWrap/>
            <w:hideMark/>
          </w:tcPr>
          <w:p w14:paraId="29C64036" w14:textId="77777777" w:rsidR="00B57EAB" w:rsidRPr="00B57EAB" w:rsidRDefault="00B57EAB" w:rsidP="00B57EAB">
            <w:pPr>
              <w:rPr>
                <w:sz w:val="20"/>
                <w:szCs w:val="20"/>
              </w:rPr>
            </w:pPr>
            <w:r w:rsidRPr="00B57EAB">
              <w:rPr>
                <w:sz w:val="20"/>
                <w:szCs w:val="20"/>
              </w:rPr>
              <w:t>kg NOx eq</w:t>
            </w:r>
          </w:p>
        </w:tc>
        <w:tc>
          <w:tcPr>
            <w:tcW w:w="2126" w:type="dxa"/>
            <w:noWrap/>
            <w:hideMark/>
          </w:tcPr>
          <w:p w14:paraId="359A23BF" w14:textId="77777777" w:rsidR="00B57EAB" w:rsidRPr="00B57EAB" w:rsidRDefault="00B57EAB" w:rsidP="00B57EAB">
            <w:pPr>
              <w:jc w:val="right"/>
              <w:rPr>
                <w:sz w:val="20"/>
                <w:szCs w:val="20"/>
              </w:rPr>
            </w:pPr>
            <w:r w:rsidRPr="00B57EAB">
              <w:rPr>
                <w:sz w:val="20"/>
                <w:szCs w:val="20"/>
              </w:rPr>
              <w:t>5.42E-05</w:t>
            </w:r>
          </w:p>
        </w:tc>
        <w:tc>
          <w:tcPr>
            <w:tcW w:w="992" w:type="dxa"/>
            <w:noWrap/>
            <w:hideMark/>
          </w:tcPr>
          <w:p w14:paraId="755A1ED7" w14:textId="77777777" w:rsidR="00B57EAB" w:rsidRPr="00B57EAB" w:rsidRDefault="00B57EAB" w:rsidP="00B57EAB">
            <w:pPr>
              <w:jc w:val="right"/>
              <w:rPr>
                <w:sz w:val="20"/>
                <w:szCs w:val="20"/>
              </w:rPr>
            </w:pPr>
            <w:r w:rsidRPr="00B57EAB">
              <w:rPr>
                <w:sz w:val="20"/>
                <w:szCs w:val="20"/>
              </w:rPr>
              <w:t>9.02E-05</w:t>
            </w:r>
          </w:p>
        </w:tc>
        <w:tc>
          <w:tcPr>
            <w:tcW w:w="999" w:type="dxa"/>
            <w:noWrap/>
            <w:hideMark/>
          </w:tcPr>
          <w:p w14:paraId="1D5E10C0" w14:textId="77777777" w:rsidR="00B57EAB" w:rsidRPr="00B57EAB" w:rsidRDefault="00B57EAB" w:rsidP="00B57EAB">
            <w:pPr>
              <w:jc w:val="right"/>
              <w:rPr>
                <w:sz w:val="20"/>
                <w:szCs w:val="20"/>
              </w:rPr>
            </w:pPr>
            <w:r w:rsidRPr="00B57EAB">
              <w:rPr>
                <w:sz w:val="20"/>
                <w:szCs w:val="20"/>
              </w:rPr>
              <w:t>1.11E-04</w:t>
            </w:r>
          </w:p>
        </w:tc>
        <w:tc>
          <w:tcPr>
            <w:tcW w:w="1076" w:type="dxa"/>
            <w:noWrap/>
            <w:hideMark/>
          </w:tcPr>
          <w:p w14:paraId="3CB545EE" w14:textId="77777777" w:rsidR="00B57EAB" w:rsidRPr="00B57EAB" w:rsidRDefault="00B57EAB" w:rsidP="00B57EAB">
            <w:pPr>
              <w:jc w:val="right"/>
              <w:rPr>
                <w:sz w:val="20"/>
                <w:szCs w:val="20"/>
              </w:rPr>
            </w:pPr>
            <w:r w:rsidRPr="00B57EAB">
              <w:rPr>
                <w:sz w:val="20"/>
                <w:szCs w:val="20"/>
              </w:rPr>
              <w:t>1.32E-04</w:t>
            </w:r>
          </w:p>
        </w:tc>
      </w:tr>
      <w:tr w:rsidR="00B57EAB" w:rsidRPr="00B57EAB" w14:paraId="5D0942CC" w14:textId="77777777" w:rsidTr="00B57EAB">
        <w:trPr>
          <w:trHeight w:val="288"/>
        </w:trPr>
        <w:tc>
          <w:tcPr>
            <w:tcW w:w="2405" w:type="dxa"/>
            <w:noWrap/>
            <w:hideMark/>
          </w:tcPr>
          <w:p w14:paraId="2766AA3A" w14:textId="77777777" w:rsidR="00B57EAB" w:rsidRPr="00B57EAB" w:rsidRDefault="00B57EAB" w:rsidP="00B57EAB">
            <w:pPr>
              <w:rPr>
                <w:sz w:val="20"/>
                <w:szCs w:val="20"/>
              </w:rPr>
            </w:pPr>
            <w:r w:rsidRPr="00B57EAB">
              <w:rPr>
                <w:sz w:val="20"/>
                <w:szCs w:val="20"/>
              </w:rPr>
              <w:t>Fine particulate matter formation</w:t>
            </w:r>
          </w:p>
        </w:tc>
        <w:tc>
          <w:tcPr>
            <w:tcW w:w="1418" w:type="dxa"/>
            <w:noWrap/>
            <w:hideMark/>
          </w:tcPr>
          <w:p w14:paraId="289D30D0" w14:textId="77777777" w:rsidR="00B57EAB" w:rsidRPr="00B57EAB" w:rsidRDefault="00B57EAB" w:rsidP="00B57EAB">
            <w:pPr>
              <w:rPr>
                <w:sz w:val="20"/>
                <w:szCs w:val="20"/>
              </w:rPr>
            </w:pPr>
            <w:r w:rsidRPr="00B57EAB">
              <w:rPr>
                <w:sz w:val="20"/>
                <w:szCs w:val="20"/>
              </w:rPr>
              <w:t>kg PM2.5 eq</w:t>
            </w:r>
          </w:p>
        </w:tc>
        <w:tc>
          <w:tcPr>
            <w:tcW w:w="2126" w:type="dxa"/>
            <w:noWrap/>
            <w:hideMark/>
          </w:tcPr>
          <w:p w14:paraId="316668D1" w14:textId="77777777" w:rsidR="00B57EAB" w:rsidRPr="00B57EAB" w:rsidRDefault="00B57EAB" w:rsidP="00B57EAB">
            <w:pPr>
              <w:jc w:val="right"/>
              <w:rPr>
                <w:sz w:val="20"/>
                <w:szCs w:val="20"/>
              </w:rPr>
            </w:pPr>
            <w:r w:rsidRPr="00B57EAB">
              <w:rPr>
                <w:sz w:val="20"/>
                <w:szCs w:val="20"/>
              </w:rPr>
              <w:t>2.66E-05</w:t>
            </w:r>
          </w:p>
        </w:tc>
        <w:tc>
          <w:tcPr>
            <w:tcW w:w="992" w:type="dxa"/>
            <w:noWrap/>
            <w:hideMark/>
          </w:tcPr>
          <w:p w14:paraId="40CFD7D1" w14:textId="77777777" w:rsidR="00B57EAB" w:rsidRPr="00B57EAB" w:rsidRDefault="00B57EAB" w:rsidP="00B57EAB">
            <w:pPr>
              <w:jc w:val="right"/>
              <w:rPr>
                <w:sz w:val="20"/>
                <w:szCs w:val="20"/>
              </w:rPr>
            </w:pPr>
            <w:r w:rsidRPr="00B57EAB">
              <w:rPr>
                <w:sz w:val="20"/>
                <w:szCs w:val="20"/>
              </w:rPr>
              <w:t>4.12E-05</w:t>
            </w:r>
          </w:p>
        </w:tc>
        <w:tc>
          <w:tcPr>
            <w:tcW w:w="999" w:type="dxa"/>
            <w:noWrap/>
            <w:hideMark/>
          </w:tcPr>
          <w:p w14:paraId="0097481E" w14:textId="77777777" w:rsidR="00B57EAB" w:rsidRPr="00B57EAB" w:rsidRDefault="00B57EAB" w:rsidP="00B57EAB">
            <w:pPr>
              <w:jc w:val="right"/>
              <w:rPr>
                <w:sz w:val="20"/>
                <w:szCs w:val="20"/>
              </w:rPr>
            </w:pPr>
            <w:r w:rsidRPr="00B57EAB">
              <w:rPr>
                <w:sz w:val="20"/>
                <w:szCs w:val="20"/>
              </w:rPr>
              <w:t>5.19E-05</w:t>
            </w:r>
          </w:p>
        </w:tc>
        <w:tc>
          <w:tcPr>
            <w:tcW w:w="1076" w:type="dxa"/>
            <w:noWrap/>
            <w:hideMark/>
          </w:tcPr>
          <w:p w14:paraId="46B65C8C" w14:textId="77777777" w:rsidR="00B57EAB" w:rsidRPr="00B57EAB" w:rsidRDefault="00B57EAB" w:rsidP="00B57EAB">
            <w:pPr>
              <w:jc w:val="right"/>
              <w:rPr>
                <w:sz w:val="20"/>
                <w:szCs w:val="20"/>
              </w:rPr>
            </w:pPr>
            <w:r w:rsidRPr="00B57EAB">
              <w:rPr>
                <w:sz w:val="20"/>
                <w:szCs w:val="20"/>
              </w:rPr>
              <w:t>6.02E-05</w:t>
            </w:r>
          </w:p>
        </w:tc>
      </w:tr>
      <w:tr w:rsidR="00B57EAB" w:rsidRPr="00B57EAB" w14:paraId="20477A92" w14:textId="77777777" w:rsidTr="00B57EAB">
        <w:trPr>
          <w:trHeight w:val="288"/>
        </w:trPr>
        <w:tc>
          <w:tcPr>
            <w:tcW w:w="2405" w:type="dxa"/>
            <w:noWrap/>
            <w:hideMark/>
          </w:tcPr>
          <w:p w14:paraId="47546C8B" w14:textId="77777777" w:rsidR="00B57EAB" w:rsidRPr="00B57EAB" w:rsidRDefault="00B57EAB" w:rsidP="00B57EAB">
            <w:pPr>
              <w:rPr>
                <w:sz w:val="20"/>
                <w:szCs w:val="20"/>
              </w:rPr>
            </w:pPr>
            <w:r w:rsidRPr="00B57EAB">
              <w:rPr>
                <w:sz w:val="20"/>
                <w:szCs w:val="20"/>
              </w:rPr>
              <w:t>Ozone formation, Terrestrial ecosystems</w:t>
            </w:r>
          </w:p>
        </w:tc>
        <w:tc>
          <w:tcPr>
            <w:tcW w:w="1418" w:type="dxa"/>
            <w:noWrap/>
            <w:hideMark/>
          </w:tcPr>
          <w:p w14:paraId="0CD4E192" w14:textId="77777777" w:rsidR="00B57EAB" w:rsidRPr="00B57EAB" w:rsidRDefault="00B57EAB" w:rsidP="00B57EAB">
            <w:pPr>
              <w:rPr>
                <w:sz w:val="20"/>
                <w:szCs w:val="20"/>
              </w:rPr>
            </w:pPr>
            <w:r w:rsidRPr="00B57EAB">
              <w:rPr>
                <w:sz w:val="20"/>
                <w:szCs w:val="20"/>
              </w:rPr>
              <w:t>kg NOx eq</w:t>
            </w:r>
          </w:p>
        </w:tc>
        <w:tc>
          <w:tcPr>
            <w:tcW w:w="2126" w:type="dxa"/>
            <w:noWrap/>
            <w:hideMark/>
          </w:tcPr>
          <w:p w14:paraId="5DDE660B" w14:textId="77777777" w:rsidR="00B57EAB" w:rsidRPr="00B57EAB" w:rsidRDefault="00B57EAB" w:rsidP="00B57EAB">
            <w:pPr>
              <w:jc w:val="right"/>
              <w:rPr>
                <w:sz w:val="20"/>
                <w:szCs w:val="20"/>
              </w:rPr>
            </w:pPr>
            <w:r w:rsidRPr="00B57EAB">
              <w:rPr>
                <w:sz w:val="20"/>
                <w:szCs w:val="20"/>
              </w:rPr>
              <w:t>5.80E-05</w:t>
            </w:r>
          </w:p>
        </w:tc>
        <w:tc>
          <w:tcPr>
            <w:tcW w:w="992" w:type="dxa"/>
            <w:noWrap/>
            <w:hideMark/>
          </w:tcPr>
          <w:p w14:paraId="37FDA331" w14:textId="77777777" w:rsidR="00B57EAB" w:rsidRPr="00B57EAB" w:rsidRDefault="00B57EAB" w:rsidP="00B57EAB">
            <w:pPr>
              <w:jc w:val="right"/>
              <w:rPr>
                <w:sz w:val="20"/>
                <w:szCs w:val="20"/>
              </w:rPr>
            </w:pPr>
            <w:r w:rsidRPr="00B57EAB">
              <w:rPr>
                <w:sz w:val="20"/>
                <w:szCs w:val="20"/>
              </w:rPr>
              <w:t>9.79E-05</w:t>
            </w:r>
          </w:p>
        </w:tc>
        <w:tc>
          <w:tcPr>
            <w:tcW w:w="999" w:type="dxa"/>
            <w:noWrap/>
            <w:hideMark/>
          </w:tcPr>
          <w:p w14:paraId="186A578F" w14:textId="77777777" w:rsidR="00B57EAB" w:rsidRPr="00B57EAB" w:rsidRDefault="00B57EAB" w:rsidP="00B57EAB">
            <w:pPr>
              <w:jc w:val="right"/>
              <w:rPr>
                <w:sz w:val="20"/>
                <w:szCs w:val="20"/>
              </w:rPr>
            </w:pPr>
            <w:r w:rsidRPr="00B57EAB">
              <w:rPr>
                <w:sz w:val="20"/>
                <w:szCs w:val="20"/>
              </w:rPr>
              <w:t>1.23E-04</w:t>
            </w:r>
          </w:p>
        </w:tc>
        <w:tc>
          <w:tcPr>
            <w:tcW w:w="1076" w:type="dxa"/>
            <w:noWrap/>
            <w:hideMark/>
          </w:tcPr>
          <w:p w14:paraId="42ADCABD" w14:textId="77777777" w:rsidR="00B57EAB" w:rsidRPr="00B57EAB" w:rsidRDefault="00B57EAB" w:rsidP="00B57EAB">
            <w:pPr>
              <w:jc w:val="right"/>
              <w:rPr>
                <w:sz w:val="20"/>
                <w:szCs w:val="20"/>
              </w:rPr>
            </w:pPr>
            <w:r w:rsidRPr="00B57EAB">
              <w:rPr>
                <w:sz w:val="20"/>
                <w:szCs w:val="20"/>
              </w:rPr>
              <w:t>1.37E-04</w:t>
            </w:r>
          </w:p>
        </w:tc>
      </w:tr>
      <w:tr w:rsidR="00B57EAB" w:rsidRPr="00B57EAB" w14:paraId="5D226799" w14:textId="77777777" w:rsidTr="00B57EAB">
        <w:trPr>
          <w:trHeight w:val="288"/>
        </w:trPr>
        <w:tc>
          <w:tcPr>
            <w:tcW w:w="2405" w:type="dxa"/>
            <w:noWrap/>
            <w:hideMark/>
          </w:tcPr>
          <w:p w14:paraId="7135F892" w14:textId="77777777" w:rsidR="00B57EAB" w:rsidRPr="00B57EAB" w:rsidRDefault="00B57EAB" w:rsidP="00B57EAB">
            <w:pPr>
              <w:rPr>
                <w:sz w:val="20"/>
                <w:szCs w:val="20"/>
              </w:rPr>
            </w:pPr>
            <w:r w:rsidRPr="00B57EAB">
              <w:rPr>
                <w:sz w:val="20"/>
                <w:szCs w:val="20"/>
              </w:rPr>
              <w:t>Terrestrial acidification</w:t>
            </w:r>
          </w:p>
        </w:tc>
        <w:tc>
          <w:tcPr>
            <w:tcW w:w="1418" w:type="dxa"/>
            <w:noWrap/>
            <w:hideMark/>
          </w:tcPr>
          <w:p w14:paraId="3E8DE875" w14:textId="77777777" w:rsidR="00B57EAB" w:rsidRPr="00B57EAB" w:rsidRDefault="00B57EAB" w:rsidP="00B57EAB">
            <w:pPr>
              <w:rPr>
                <w:sz w:val="20"/>
                <w:szCs w:val="20"/>
              </w:rPr>
            </w:pPr>
            <w:r w:rsidRPr="00B57EAB">
              <w:rPr>
                <w:sz w:val="20"/>
                <w:szCs w:val="20"/>
              </w:rPr>
              <w:t>kg SO2 eq</w:t>
            </w:r>
          </w:p>
        </w:tc>
        <w:tc>
          <w:tcPr>
            <w:tcW w:w="2126" w:type="dxa"/>
            <w:noWrap/>
            <w:hideMark/>
          </w:tcPr>
          <w:p w14:paraId="651BAE3D" w14:textId="77777777" w:rsidR="00B57EAB" w:rsidRPr="00B57EAB" w:rsidRDefault="00B57EAB" w:rsidP="00B57EAB">
            <w:pPr>
              <w:jc w:val="right"/>
              <w:rPr>
                <w:sz w:val="20"/>
                <w:szCs w:val="20"/>
              </w:rPr>
            </w:pPr>
            <w:r w:rsidRPr="00B57EAB">
              <w:rPr>
                <w:sz w:val="20"/>
                <w:szCs w:val="20"/>
              </w:rPr>
              <w:t>6.36E-05</w:t>
            </w:r>
          </w:p>
        </w:tc>
        <w:tc>
          <w:tcPr>
            <w:tcW w:w="992" w:type="dxa"/>
            <w:noWrap/>
            <w:hideMark/>
          </w:tcPr>
          <w:p w14:paraId="71F83CEA" w14:textId="77777777" w:rsidR="00B57EAB" w:rsidRPr="00B57EAB" w:rsidRDefault="00B57EAB" w:rsidP="00B57EAB">
            <w:pPr>
              <w:jc w:val="right"/>
              <w:rPr>
                <w:sz w:val="20"/>
                <w:szCs w:val="20"/>
              </w:rPr>
            </w:pPr>
            <w:r w:rsidRPr="00B57EAB">
              <w:rPr>
                <w:sz w:val="20"/>
                <w:szCs w:val="20"/>
              </w:rPr>
              <w:t>8.76E-05</w:t>
            </w:r>
          </w:p>
        </w:tc>
        <w:tc>
          <w:tcPr>
            <w:tcW w:w="999" w:type="dxa"/>
            <w:noWrap/>
            <w:hideMark/>
          </w:tcPr>
          <w:p w14:paraId="5B45C648" w14:textId="77777777" w:rsidR="00B57EAB" w:rsidRPr="00B57EAB" w:rsidRDefault="00B57EAB" w:rsidP="00B57EAB">
            <w:pPr>
              <w:jc w:val="right"/>
              <w:rPr>
                <w:sz w:val="20"/>
                <w:szCs w:val="20"/>
              </w:rPr>
            </w:pPr>
            <w:r w:rsidRPr="00B57EAB">
              <w:rPr>
                <w:sz w:val="20"/>
                <w:szCs w:val="20"/>
              </w:rPr>
              <w:t>1.19E-04</w:t>
            </w:r>
          </w:p>
        </w:tc>
        <w:tc>
          <w:tcPr>
            <w:tcW w:w="1076" w:type="dxa"/>
            <w:noWrap/>
            <w:hideMark/>
          </w:tcPr>
          <w:p w14:paraId="1ED499F1" w14:textId="77777777" w:rsidR="00B57EAB" w:rsidRPr="00B57EAB" w:rsidRDefault="00B57EAB" w:rsidP="00B57EAB">
            <w:pPr>
              <w:jc w:val="right"/>
              <w:rPr>
                <w:sz w:val="20"/>
                <w:szCs w:val="20"/>
              </w:rPr>
            </w:pPr>
            <w:r w:rsidRPr="00B57EAB">
              <w:rPr>
                <w:sz w:val="20"/>
                <w:szCs w:val="20"/>
              </w:rPr>
              <w:t>1.37E-04</w:t>
            </w:r>
          </w:p>
        </w:tc>
      </w:tr>
      <w:tr w:rsidR="00B57EAB" w:rsidRPr="00B57EAB" w14:paraId="660AC43C" w14:textId="77777777" w:rsidTr="00B57EAB">
        <w:trPr>
          <w:trHeight w:val="288"/>
        </w:trPr>
        <w:tc>
          <w:tcPr>
            <w:tcW w:w="2405" w:type="dxa"/>
            <w:noWrap/>
            <w:hideMark/>
          </w:tcPr>
          <w:p w14:paraId="0BED4981" w14:textId="77777777" w:rsidR="00B57EAB" w:rsidRPr="00B57EAB" w:rsidRDefault="00B57EAB" w:rsidP="00B57EAB">
            <w:pPr>
              <w:rPr>
                <w:sz w:val="20"/>
                <w:szCs w:val="20"/>
              </w:rPr>
            </w:pPr>
            <w:r w:rsidRPr="00B57EAB">
              <w:rPr>
                <w:sz w:val="20"/>
                <w:szCs w:val="20"/>
              </w:rPr>
              <w:t>Freshwater eutrophication</w:t>
            </w:r>
          </w:p>
        </w:tc>
        <w:tc>
          <w:tcPr>
            <w:tcW w:w="1418" w:type="dxa"/>
            <w:noWrap/>
            <w:hideMark/>
          </w:tcPr>
          <w:p w14:paraId="29298313" w14:textId="77777777" w:rsidR="00B57EAB" w:rsidRPr="00B57EAB" w:rsidRDefault="00B57EAB" w:rsidP="00B57EAB">
            <w:pPr>
              <w:rPr>
                <w:sz w:val="20"/>
                <w:szCs w:val="20"/>
              </w:rPr>
            </w:pPr>
            <w:r w:rsidRPr="00B57EAB">
              <w:rPr>
                <w:sz w:val="20"/>
                <w:szCs w:val="20"/>
              </w:rPr>
              <w:t>kg P eq</w:t>
            </w:r>
          </w:p>
        </w:tc>
        <w:tc>
          <w:tcPr>
            <w:tcW w:w="2126" w:type="dxa"/>
            <w:noWrap/>
            <w:hideMark/>
          </w:tcPr>
          <w:p w14:paraId="389645FF" w14:textId="77777777" w:rsidR="00B57EAB" w:rsidRPr="00B57EAB" w:rsidRDefault="00B57EAB" w:rsidP="00B57EAB">
            <w:pPr>
              <w:jc w:val="right"/>
              <w:rPr>
                <w:sz w:val="20"/>
                <w:szCs w:val="20"/>
              </w:rPr>
            </w:pPr>
            <w:r w:rsidRPr="00B57EAB">
              <w:rPr>
                <w:sz w:val="20"/>
                <w:szCs w:val="20"/>
              </w:rPr>
              <w:t>6.72E-06</w:t>
            </w:r>
          </w:p>
        </w:tc>
        <w:tc>
          <w:tcPr>
            <w:tcW w:w="992" w:type="dxa"/>
            <w:noWrap/>
            <w:hideMark/>
          </w:tcPr>
          <w:p w14:paraId="78081629" w14:textId="77777777" w:rsidR="00B57EAB" w:rsidRPr="00B57EAB" w:rsidRDefault="00B57EAB" w:rsidP="00B57EAB">
            <w:pPr>
              <w:jc w:val="right"/>
              <w:rPr>
                <w:sz w:val="20"/>
                <w:szCs w:val="20"/>
              </w:rPr>
            </w:pPr>
            <w:r w:rsidRPr="00B57EAB">
              <w:rPr>
                <w:sz w:val="20"/>
                <w:szCs w:val="20"/>
              </w:rPr>
              <w:t>9.77E-06</w:t>
            </w:r>
          </w:p>
        </w:tc>
        <w:tc>
          <w:tcPr>
            <w:tcW w:w="999" w:type="dxa"/>
            <w:noWrap/>
            <w:hideMark/>
          </w:tcPr>
          <w:p w14:paraId="69470A85" w14:textId="77777777" w:rsidR="00B57EAB" w:rsidRPr="00B57EAB" w:rsidRDefault="00B57EAB" w:rsidP="00B57EAB">
            <w:pPr>
              <w:jc w:val="right"/>
              <w:rPr>
                <w:sz w:val="20"/>
                <w:szCs w:val="20"/>
              </w:rPr>
            </w:pPr>
            <w:r w:rsidRPr="00B57EAB">
              <w:rPr>
                <w:sz w:val="20"/>
                <w:szCs w:val="20"/>
              </w:rPr>
              <w:t>1.25E-05</w:t>
            </w:r>
          </w:p>
        </w:tc>
        <w:tc>
          <w:tcPr>
            <w:tcW w:w="1076" w:type="dxa"/>
            <w:noWrap/>
            <w:hideMark/>
          </w:tcPr>
          <w:p w14:paraId="656B723F" w14:textId="77777777" w:rsidR="00B57EAB" w:rsidRPr="00B57EAB" w:rsidRDefault="00B57EAB" w:rsidP="00B57EAB">
            <w:pPr>
              <w:jc w:val="right"/>
              <w:rPr>
                <w:sz w:val="20"/>
                <w:szCs w:val="20"/>
              </w:rPr>
            </w:pPr>
            <w:r w:rsidRPr="00B57EAB">
              <w:rPr>
                <w:sz w:val="20"/>
                <w:szCs w:val="20"/>
              </w:rPr>
              <w:t>1.23E-05</w:t>
            </w:r>
          </w:p>
        </w:tc>
      </w:tr>
      <w:tr w:rsidR="00B57EAB" w:rsidRPr="00B57EAB" w14:paraId="629549B0" w14:textId="77777777" w:rsidTr="00B57EAB">
        <w:trPr>
          <w:trHeight w:val="288"/>
        </w:trPr>
        <w:tc>
          <w:tcPr>
            <w:tcW w:w="2405" w:type="dxa"/>
            <w:noWrap/>
            <w:hideMark/>
          </w:tcPr>
          <w:p w14:paraId="46171A79" w14:textId="77777777" w:rsidR="00B57EAB" w:rsidRPr="00B57EAB" w:rsidRDefault="00B57EAB" w:rsidP="00B57EAB">
            <w:pPr>
              <w:rPr>
                <w:sz w:val="20"/>
                <w:szCs w:val="20"/>
              </w:rPr>
            </w:pPr>
            <w:r w:rsidRPr="00B57EAB">
              <w:rPr>
                <w:sz w:val="20"/>
                <w:szCs w:val="20"/>
              </w:rPr>
              <w:t>Marine eutrophication</w:t>
            </w:r>
          </w:p>
        </w:tc>
        <w:tc>
          <w:tcPr>
            <w:tcW w:w="1418" w:type="dxa"/>
            <w:noWrap/>
            <w:hideMark/>
          </w:tcPr>
          <w:p w14:paraId="7F5F6447" w14:textId="77777777" w:rsidR="00B57EAB" w:rsidRPr="00B57EAB" w:rsidRDefault="00B57EAB" w:rsidP="00B57EAB">
            <w:pPr>
              <w:rPr>
                <w:sz w:val="20"/>
                <w:szCs w:val="20"/>
              </w:rPr>
            </w:pPr>
            <w:r w:rsidRPr="00B57EAB">
              <w:rPr>
                <w:sz w:val="20"/>
                <w:szCs w:val="20"/>
              </w:rPr>
              <w:t>kg N eq</w:t>
            </w:r>
          </w:p>
        </w:tc>
        <w:tc>
          <w:tcPr>
            <w:tcW w:w="2126" w:type="dxa"/>
            <w:noWrap/>
            <w:hideMark/>
          </w:tcPr>
          <w:p w14:paraId="0996ED36" w14:textId="77777777" w:rsidR="00B57EAB" w:rsidRPr="00B57EAB" w:rsidRDefault="00B57EAB" w:rsidP="00B57EAB">
            <w:pPr>
              <w:jc w:val="right"/>
              <w:rPr>
                <w:sz w:val="20"/>
                <w:szCs w:val="20"/>
              </w:rPr>
            </w:pPr>
            <w:r w:rsidRPr="00B57EAB">
              <w:rPr>
                <w:sz w:val="20"/>
                <w:szCs w:val="20"/>
              </w:rPr>
              <w:t>9.14E-07</w:t>
            </w:r>
          </w:p>
        </w:tc>
        <w:tc>
          <w:tcPr>
            <w:tcW w:w="992" w:type="dxa"/>
            <w:noWrap/>
            <w:hideMark/>
          </w:tcPr>
          <w:p w14:paraId="7E16D601" w14:textId="77777777" w:rsidR="00B57EAB" w:rsidRPr="00B57EAB" w:rsidRDefault="00B57EAB" w:rsidP="00B57EAB">
            <w:pPr>
              <w:jc w:val="right"/>
              <w:rPr>
                <w:sz w:val="20"/>
                <w:szCs w:val="20"/>
              </w:rPr>
            </w:pPr>
            <w:r w:rsidRPr="00B57EAB">
              <w:rPr>
                <w:sz w:val="20"/>
                <w:szCs w:val="20"/>
              </w:rPr>
              <w:t>1.16E-06</w:t>
            </w:r>
          </w:p>
        </w:tc>
        <w:tc>
          <w:tcPr>
            <w:tcW w:w="999" w:type="dxa"/>
            <w:noWrap/>
            <w:hideMark/>
          </w:tcPr>
          <w:p w14:paraId="4D1CD6B4" w14:textId="77777777" w:rsidR="00B57EAB" w:rsidRPr="00B57EAB" w:rsidRDefault="00B57EAB" w:rsidP="00B57EAB">
            <w:pPr>
              <w:jc w:val="right"/>
              <w:rPr>
                <w:sz w:val="20"/>
                <w:szCs w:val="20"/>
              </w:rPr>
            </w:pPr>
            <w:r w:rsidRPr="00B57EAB">
              <w:rPr>
                <w:sz w:val="20"/>
                <w:szCs w:val="20"/>
              </w:rPr>
              <w:t>1.34E-06</w:t>
            </w:r>
          </w:p>
        </w:tc>
        <w:tc>
          <w:tcPr>
            <w:tcW w:w="1076" w:type="dxa"/>
            <w:noWrap/>
            <w:hideMark/>
          </w:tcPr>
          <w:p w14:paraId="6665986C" w14:textId="77777777" w:rsidR="00B57EAB" w:rsidRPr="00B57EAB" w:rsidRDefault="00B57EAB" w:rsidP="00B57EAB">
            <w:pPr>
              <w:jc w:val="right"/>
              <w:rPr>
                <w:sz w:val="20"/>
                <w:szCs w:val="20"/>
              </w:rPr>
            </w:pPr>
            <w:r w:rsidRPr="00B57EAB">
              <w:rPr>
                <w:sz w:val="20"/>
                <w:szCs w:val="20"/>
              </w:rPr>
              <w:t>1.20E-06</w:t>
            </w:r>
          </w:p>
        </w:tc>
      </w:tr>
      <w:tr w:rsidR="00B57EAB" w:rsidRPr="00B57EAB" w14:paraId="4BCE0F1F" w14:textId="77777777" w:rsidTr="00B57EAB">
        <w:trPr>
          <w:trHeight w:val="288"/>
        </w:trPr>
        <w:tc>
          <w:tcPr>
            <w:tcW w:w="2405" w:type="dxa"/>
            <w:noWrap/>
            <w:hideMark/>
          </w:tcPr>
          <w:p w14:paraId="1438D8B4" w14:textId="77777777" w:rsidR="00B57EAB" w:rsidRPr="00B57EAB" w:rsidRDefault="00B57EAB" w:rsidP="00B57EAB">
            <w:pPr>
              <w:rPr>
                <w:sz w:val="20"/>
                <w:szCs w:val="20"/>
              </w:rPr>
            </w:pPr>
            <w:r w:rsidRPr="00B57EAB">
              <w:rPr>
                <w:sz w:val="20"/>
                <w:szCs w:val="20"/>
              </w:rPr>
              <w:t>Terrestrial ecotoxicity</w:t>
            </w:r>
          </w:p>
        </w:tc>
        <w:tc>
          <w:tcPr>
            <w:tcW w:w="1418" w:type="dxa"/>
            <w:noWrap/>
            <w:hideMark/>
          </w:tcPr>
          <w:p w14:paraId="63DE3D37" w14:textId="77777777" w:rsidR="00B57EAB" w:rsidRPr="00B57EAB" w:rsidRDefault="00B57EAB" w:rsidP="00B57EAB">
            <w:pPr>
              <w:rPr>
                <w:sz w:val="20"/>
                <w:szCs w:val="20"/>
              </w:rPr>
            </w:pPr>
            <w:r w:rsidRPr="00B57EAB">
              <w:rPr>
                <w:sz w:val="20"/>
                <w:szCs w:val="20"/>
              </w:rPr>
              <w:t>kg 1,4-DCB</w:t>
            </w:r>
          </w:p>
        </w:tc>
        <w:tc>
          <w:tcPr>
            <w:tcW w:w="2126" w:type="dxa"/>
            <w:noWrap/>
            <w:hideMark/>
          </w:tcPr>
          <w:p w14:paraId="5FDF604A" w14:textId="77777777" w:rsidR="00B57EAB" w:rsidRPr="00B57EAB" w:rsidRDefault="00B57EAB" w:rsidP="00B57EAB">
            <w:pPr>
              <w:jc w:val="right"/>
              <w:rPr>
                <w:sz w:val="20"/>
                <w:szCs w:val="20"/>
              </w:rPr>
            </w:pPr>
            <w:r w:rsidRPr="00B57EAB">
              <w:rPr>
                <w:sz w:val="20"/>
                <w:szCs w:val="20"/>
              </w:rPr>
              <w:t>6.41E-02</w:t>
            </w:r>
          </w:p>
        </w:tc>
        <w:tc>
          <w:tcPr>
            <w:tcW w:w="992" w:type="dxa"/>
            <w:noWrap/>
            <w:hideMark/>
          </w:tcPr>
          <w:p w14:paraId="177DD3A6" w14:textId="77777777" w:rsidR="00B57EAB" w:rsidRPr="00B57EAB" w:rsidRDefault="00B57EAB" w:rsidP="00B57EAB">
            <w:pPr>
              <w:jc w:val="right"/>
              <w:rPr>
                <w:sz w:val="20"/>
                <w:szCs w:val="20"/>
              </w:rPr>
            </w:pPr>
            <w:r w:rsidRPr="00B57EAB">
              <w:rPr>
                <w:sz w:val="20"/>
                <w:szCs w:val="20"/>
              </w:rPr>
              <w:t>1.31E-01</w:t>
            </w:r>
          </w:p>
        </w:tc>
        <w:tc>
          <w:tcPr>
            <w:tcW w:w="999" w:type="dxa"/>
            <w:noWrap/>
            <w:hideMark/>
          </w:tcPr>
          <w:p w14:paraId="512D35D6" w14:textId="77777777" w:rsidR="00B57EAB" w:rsidRPr="00B57EAB" w:rsidRDefault="00B57EAB" w:rsidP="00B57EAB">
            <w:pPr>
              <w:jc w:val="right"/>
              <w:rPr>
                <w:sz w:val="20"/>
                <w:szCs w:val="20"/>
              </w:rPr>
            </w:pPr>
            <w:r w:rsidRPr="00B57EAB">
              <w:rPr>
                <w:sz w:val="20"/>
                <w:szCs w:val="20"/>
              </w:rPr>
              <w:t>1.21E-01</w:t>
            </w:r>
          </w:p>
        </w:tc>
        <w:tc>
          <w:tcPr>
            <w:tcW w:w="1076" w:type="dxa"/>
            <w:noWrap/>
            <w:hideMark/>
          </w:tcPr>
          <w:p w14:paraId="4E7724DD" w14:textId="77777777" w:rsidR="00B57EAB" w:rsidRPr="00B57EAB" w:rsidRDefault="00B57EAB" w:rsidP="00B57EAB">
            <w:pPr>
              <w:jc w:val="right"/>
              <w:rPr>
                <w:sz w:val="20"/>
                <w:szCs w:val="20"/>
              </w:rPr>
            </w:pPr>
            <w:r w:rsidRPr="00B57EAB">
              <w:rPr>
                <w:sz w:val="20"/>
                <w:szCs w:val="20"/>
              </w:rPr>
              <w:t>1.37E-01</w:t>
            </w:r>
          </w:p>
        </w:tc>
      </w:tr>
      <w:tr w:rsidR="00B57EAB" w:rsidRPr="00B57EAB" w14:paraId="120810F5" w14:textId="77777777" w:rsidTr="00B57EAB">
        <w:trPr>
          <w:trHeight w:val="288"/>
        </w:trPr>
        <w:tc>
          <w:tcPr>
            <w:tcW w:w="2405" w:type="dxa"/>
            <w:noWrap/>
            <w:hideMark/>
          </w:tcPr>
          <w:p w14:paraId="3B26F420" w14:textId="77777777" w:rsidR="00B57EAB" w:rsidRPr="00B57EAB" w:rsidRDefault="00B57EAB" w:rsidP="00B57EAB">
            <w:pPr>
              <w:rPr>
                <w:sz w:val="20"/>
                <w:szCs w:val="20"/>
              </w:rPr>
            </w:pPr>
            <w:r w:rsidRPr="00B57EAB">
              <w:rPr>
                <w:sz w:val="20"/>
                <w:szCs w:val="20"/>
              </w:rPr>
              <w:t>Freshwater ecotoxicity</w:t>
            </w:r>
          </w:p>
        </w:tc>
        <w:tc>
          <w:tcPr>
            <w:tcW w:w="1418" w:type="dxa"/>
            <w:noWrap/>
            <w:hideMark/>
          </w:tcPr>
          <w:p w14:paraId="60703DA0" w14:textId="77777777" w:rsidR="00B57EAB" w:rsidRPr="00B57EAB" w:rsidRDefault="00B57EAB" w:rsidP="00B57EAB">
            <w:pPr>
              <w:rPr>
                <w:sz w:val="20"/>
                <w:szCs w:val="20"/>
              </w:rPr>
            </w:pPr>
            <w:r w:rsidRPr="00B57EAB">
              <w:rPr>
                <w:sz w:val="20"/>
                <w:szCs w:val="20"/>
              </w:rPr>
              <w:t>kg 1,4-DCB</w:t>
            </w:r>
          </w:p>
        </w:tc>
        <w:tc>
          <w:tcPr>
            <w:tcW w:w="2126" w:type="dxa"/>
            <w:noWrap/>
            <w:hideMark/>
          </w:tcPr>
          <w:p w14:paraId="4CF90056" w14:textId="77777777" w:rsidR="00B57EAB" w:rsidRPr="00B57EAB" w:rsidRDefault="00B57EAB" w:rsidP="00B57EAB">
            <w:pPr>
              <w:jc w:val="right"/>
              <w:rPr>
                <w:sz w:val="20"/>
                <w:szCs w:val="20"/>
              </w:rPr>
            </w:pPr>
            <w:r w:rsidRPr="00B57EAB">
              <w:rPr>
                <w:sz w:val="20"/>
                <w:szCs w:val="20"/>
              </w:rPr>
              <w:t>6.43E-04</w:t>
            </w:r>
          </w:p>
        </w:tc>
        <w:tc>
          <w:tcPr>
            <w:tcW w:w="992" w:type="dxa"/>
            <w:noWrap/>
            <w:hideMark/>
          </w:tcPr>
          <w:p w14:paraId="078EBB96" w14:textId="77777777" w:rsidR="00B57EAB" w:rsidRPr="00B57EAB" w:rsidRDefault="00B57EAB" w:rsidP="00B57EAB">
            <w:pPr>
              <w:jc w:val="right"/>
              <w:rPr>
                <w:sz w:val="20"/>
                <w:szCs w:val="20"/>
              </w:rPr>
            </w:pPr>
            <w:r w:rsidRPr="00B57EAB">
              <w:rPr>
                <w:sz w:val="20"/>
                <w:szCs w:val="20"/>
              </w:rPr>
              <w:t>1.49E-03</w:t>
            </w:r>
          </w:p>
        </w:tc>
        <w:tc>
          <w:tcPr>
            <w:tcW w:w="999" w:type="dxa"/>
            <w:noWrap/>
            <w:hideMark/>
          </w:tcPr>
          <w:p w14:paraId="09BF22E4" w14:textId="77777777" w:rsidR="00B57EAB" w:rsidRPr="00B57EAB" w:rsidRDefault="00B57EAB" w:rsidP="00B57EAB">
            <w:pPr>
              <w:jc w:val="right"/>
              <w:rPr>
                <w:sz w:val="20"/>
                <w:szCs w:val="20"/>
              </w:rPr>
            </w:pPr>
            <w:r w:rsidRPr="00B57EAB">
              <w:rPr>
                <w:sz w:val="20"/>
                <w:szCs w:val="20"/>
              </w:rPr>
              <w:t>1.37E-03</w:t>
            </w:r>
          </w:p>
        </w:tc>
        <w:tc>
          <w:tcPr>
            <w:tcW w:w="1076" w:type="dxa"/>
            <w:noWrap/>
            <w:hideMark/>
          </w:tcPr>
          <w:p w14:paraId="04AA3D8E" w14:textId="77777777" w:rsidR="00B57EAB" w:rsidRPr="00B57EAB" w:rsidRDefault="00B57EAB" w:rsidP="00B57EAB">
            <w:pPr>
              <w:jc w:val="right"/>
              <w:rPr>
                <w:sz w:val="20"/>
                <w:szCs w:val="20"/>
              </w:rPr>
            </w:pPr>
            <w:r w:rsidRPr="00B57EAB">
              <w:rPr>
                <w:sz w:val="20"/>
                <w:szCs w:val="20"/>
              </w:rPr>
              <w:t>1.56E-03</w:t>
            </w:r>
          </w:p>
        </w:tc>
      </w:tr>
      <w:tr w:rsidR="00B57EAB" w:rsidRPr="00B57EAB" w14:paraId="2B1ED37A" w14:textId="77777777" w:rsidTr="00B57EAB">
        <w:trPr>
          <w:trHeight w:val="288"/>
        </w:trPr>
        <w:tc>
          <w:tcPr>
            <w:tcW w:w="2405" w:type="dxa"/>
            <w:noWrap/>
            <w:hideMark/>
          </w:tcPr>
          <w:p w14:paraId="5A7F4C76" w14:textId="77777777" w:rsidR="00B57EAB" w:rsidRPr="00B57EAB" w:rsidRDefault="00B57EAB" w:rsidP="00B57EAB">
            <w:pPr>
              <w:rPr>
                <w:sz w:val="20"/>
                <w:szCs w:val="20"/>
              </w:rPr>
            </w:pPr>
            <w:r w:rsidRPr="00B57EAB">
              <w:rPr>
                <w:sz w:val="20"/>
                <w:szCs w:val="20"/>
              </w:rPr>
              <w:t>Marine ecotoxicity</w:t>
            </w:r>
          </w:p>
        </w:tc>
        <w:tc>
          <w:tcPr>
            <w:tcW w:w="1418" w:type="dxa"/>
            <w:noWrap/>
            <w:hideMark/>
          </w:tcPr>
          <w:p w14:paraId="60A53351" w14:textId="77777777" w:rsidR="00B57EAB" w:rsidRPr="00B57EAB" w:rsidRDefault="00B57EAB" w:rsidP="00B57EAB">
            <w:pPr>
              <w:rPr>
                <w:sz w:val="20"/>
                <w:szCs w:val="20"/>
              </w:rPr>
            </w:pPr>
            <w:r w:rsidRPr="00B57EAB">
              <w:rPr>
                <w:sz w:val="20"/>
                <w:szCs w:val="20"/>
              </w:rPr>
              <w:t>kg 1,4-DCB</w:t>
            </w:r>
          </w:p>
        </w:tc>
        <w:tc>
          <w:tcPr>
            <w:tcW w:w="2126" w:type="dxa"/>
            <w:noWrap/>
            <w:hideMark/>
          </w:tcPr>
          <w:p w14:paraId="3CAE8C35" w14:textId="77777777" w:rsidR="00B57EAB" w:rsidRPr="00B57EAB" w:rsidRDefault="00B57EAB" w:rsidP="00B57EAB">
            <w:pPr>
              <w:jc w:val="right"/>
              <w:rPr>
                <w:sz w:val="20"/>
                <w:szCs w:val="20"/>
              </w:rPr>
            </w:pPr>
            <w:r w:rsidRPr="00B57EAB">
              <w:rPr>
                <w:sz w:val="20"/>
                <w:szCs w:val="20"/>
              </w:rPr>
              <w:t>8.67E-04</w:t>
            </w:r>
          </w:p>
        </w:tc>
        <w:tc>
          <w:tcPr>
            <w:tcW w:w="992" w:type="dxa"/>
            <w:noWrap/>
            <w:hideMark/>
          </w:tcPr>
          <w:p w14:paraId="0F45A8AB" w14:textId="77777777" w:rsidR="00B57EAB" w:rsidRPr="00B57EAB" w:rsidRDefault="00B57EAB" w:rsidP="00B57EAB">
            <w:pPr>
              <w:jc w:val="right"/>
              <w:rPr>
                <w:sz w:val="20"/>
                <w:szCs w:val="20"/>
              </w:rPr>
            </w:pPr>
            <w:r w:rsidRPr="00B57EAB">
              <w:rPr>
                <w:sz w:val="20"/>
                <w:szCs w:val="20"/>
              </w:rPr>
              <w:t>2.03E-03</w:t>
            </w:r>
          </w:p>
        </w:tc>
        <w:tc>
          <w:tcPr>
            <w:tcW w:w="999" w:type="dxa"/>
            <w:noWrap/>
            <w:hideMark/>
          </w:tcPr>
          <w:p w14:paraId="7E6472AC" w14:textId="77777777" w:rsidR="00B57EAB" w:rsidRPr="00B57EAB" w:rsidRDefault="00B57EAB" w:rsidP="00B57EAB">
            <w:pPr>
              <w:jc w:val="right"/>
              <w:rPr>
                <w:sz w:val="20"/>
                <w:szCs w:val="20"/>
              </w:rPr>
            </w:pPr>
            <w:r w:rsidRPr="00B57EAB">
              <w:rPr>
                <w:sz w:val="20"/>
                <w:szCs w:val="20"/>
              </w:rPr>
              <w:t>1.86E-03</w:t>
            </w:r>
          </w:p>
        </w:tc>
        <w:tc>
          <w:tcPr>
            <w:tcW w:w="1076" w:type="dxa"/>
            <w:noWrap/>
            <w:hideMark/>
          </w:tcPr>
          <w:p w14:paraId="6E90266B" w14:textId="77777777" w:rsidR="00B57EAB" w:rsidRPr="00B57EAB" w:rsidRDefault="00B57EAB" w:rsidP="00B57EAB">
            <w:pPr>
              <w:jc w:val="right"/>
              <w:rPr>
                <w:sz w:val="20"/>
                <w:szCs w:val="20"/>
              </w:rPr>
            </w:pPr>
            <w:r w:rsidRPr="00B57EAB">
              <w:rPr>
                <w:sz w:val="20"/>
                <w:szCs w:val="20"/>
              </w:rPr>
              <w:t>2.10E-03</w:t>
            </w:r>
          </w:p>
        </w:tc>
      </w:tr>
      <w:tr w:rsidR="00B57EAB" w:rsidRPr="00B57EAB" w14:paraId="647B02CF" w14:textId="77777777" w:rsidTr="00B57EAB">
        <w:trPr>
          <w:trHeight w:val="288"/>
        </w:trPr>
        <w:tc>
          <w:tcPr>
            <w:tcW w:w="2405" w:type="dxa"/>
            <w:noWrap/>
            <w:hideMark/>
          </w:tcPr>
          <w:p w14:paraId="58A3CBDB" w14:textId="77777777" w:rsidR="00B57EAB" w:rsidRPr="00B57EAB" w:rsidRDefault="00B57EAB" w:rsidP="00B57EAB">
            <w:pPr>
              <w:rPr>
                <w:sz w:val="20"/>
                <w:szCs w:val="20"/>
              </w:rPr>
            </w:pPr>
            <w:r w:rsidRPr="00B57EAB">
              <w:rPr>
                <w:sz w:val="20"/>
                <w:szCs w:val="20"/>
              </w:rPr>
              <w:t>Human carcinogenic toxicity</w:t>
            </w:r>
          </w:p>
        </w:tc>
        <w:tc>
          <w:tcPr>
            <w:tcW w:w="1418" w:type="dxa"/>
            <w:noWrap/>
            <w:hideMark/>
          </w:tcPr>
          <w:p w14:paraId="1ED076EA" w14:textId="77777777" w:rsidR="00B57EAB" w:rsidRPr="00B57EAB" w:rsidRDefault="00B57EAB" w:rsidP="00B57EAB">
            <w:pPr>
              <w:rPr>
                <w:sz w:val="20"/>
                <w:szCs w:val="20"/>
              </w:rPr>
            </w:pPr>
            <w:r w:rsidRPr="00B57EAB">
              <w:rPr>
                <w:sz w:val="20"/>
                <w:szCs w:val="20"/>
              </w:rPr>
              <w:t>kg 1,4-DCB</w:t>
            </w:r>
          </w:p>
        </w:tc>
        <w:tc>
          <w:tcPr>
            <w:tcW w:w="2126" w:type="dxa"/>
            <w:noWrap/>
            <w:hideMark/>
          </w:tcPr>
          <w:p w14:paraId="3E6EA721" w14:textId="77777777" w:rsidR="00B57EAB" w:rsidRPr="00B57EAB" w:rsidRDefault="00B57EAB" w:rsidP="00B57EAB">
            <w:pPr>
              <w:jc w:val="right"/>
              <w:rPr>
                <w:sz w:val="20"/>
                <w:szCs w:val="20"/>
              </w:rPr>
            </w:pPr>
            <w:r w:rsidRPr="00B57EAB">
              <w:rPr>
                <w:sz w:val="20"/>
                <w:szCs w:val="20"/>
              </w:rPr>
              <w:t>1.62E-03</w:t>
            </w:r>
          </w:p>
        </w:tc>
        <w:tc>
          <w:tcPr>
            <w:tcW w:w="992" w:type="dxa"/>
            <w:noWrap/>
            <w:hideMark/>
          </w:tcPr>
          <w:p w14:paraId="360E78B4" w14:textId="77777777" w:rsidR="00B57EAB" w:rsidRPr="00B57EAB" w:rsidRDefault="00B57EAB" w:rsidP="00B57EAB">
            <w:pPr>
              <w:jc w:val="right"/>
              <w:rPr>
                <w:sz w:val="20"/>
                <w:szCs w:val="20"/>
              </w:rPr>
            </w:pPr>
            <w:r w:rsidRPr="00B57EAB">
              <w:rPr>
                <w:sz w:val="20"/>
                <w:szCs w:val="20"/>
              </w:rPr>
              <w:t>2.81E-03</w:t>
            </w:r>
          </w:p>
        </w:tc>
        <w:tc>
          <w:tcPr>
            <w:tcW w:w="999" w:type="dxa"/>
            <w:noWrap/>
            <w:hideMark/>
          </w:tcPr>
          <w:p w14:paraId="64395174" w14:textId="77777777" w:rsidR="00B57EAB" w:rsidRPr="00B57EAB" w:rsidRDefault="00B57EAB" w:rsidP="00B57EAB">
            <w:pPr>
              <w:jc w:val="right"/>
              <w:rPr>
                <w:sz w:val="20"/>
                <w:szCs w:val="20"/>
              </w:rPr>
            </w:pPr>
            <w:r w:rsidRPr="00B57EAB">
              <w:rPr>
                <w:sz w:val="20"/>
                <w:szCs w:val="20"/>
              </w:rPr>
              <w:t>3.41E-03</w:t>
            </w:r>
          </w:p>
        </w:tc>
        <w:tc>
          <w:tcPr>
            <w:tcW w:w="1076" w:type="dxa"/>
            <w:noWrap/>
            <w:hideMark/>
          </w:tcPr>
          <w:p w14:paraId="05F6B499" w14:textId="77777777" w:rsidR="00B57EAB" w:rsidRPr="00B57EAB" w:rsidRDefault="00B57EAB" w:rsidP="00B57EAB">
            <w:pPr>
              <w:jc w:val="right"/>
              <w:rPr>
                <w:sz w:val="20"/>
                <w:szCs w:val="20"/>
              </w:rPr>
            </w:pPr>
            <w:r w:rsidRPr="00B57EAB">
              <w:rPr>
                <w:sz w:val="20"/>
                <w:szCs w:val="20"/>
              </w:rPr>
              <w:t>3.23E-03</w:t>
            </w:r>
          </w:p>
        </w:tc>
      </w:tr>
      <w:tr w:rsidR="00B57EAB" w:rsidRPr="00B57EAB" w14:paraId="3140F505" w14:textId="77777777" w:rsidTr="00B57EAB">
        <w:trPr>
          <w:trHeight w:val="288"/>
        </w:trPr>
        <w:tc>
          <w:tcPr>
            <w:tcW w:w="2405" w:type="dxa"/>
            <w:noWrap/>
            <w:hideMark/>
          </w:tcPr>
          <w:p w14:paraId="5E27A600" w14:textId="77777777" w:rsidR="00B57EAB" w:rsidRPr="00B57EAB" w:rsidRDefault="00B57EAB" w:rsidP="00B57EAB">
            <w:pPr>
              <w:rPr>
                <w:sz w:val="20"/>
                <w:szCs w:val="20"/>
              </w:rPr>
            </w:pPr>
            <w:r w:rsidRPr="00B57EAB">
              <w:rPr>
                <w:sz w:val="20"/>
                <w:szCs w:val="20"/>
              </w:rPr>
              <w:t>Human non-carcinogenic toxicity</w:t>
            </w:r>
          </w:p>
        </w:tc>
        <w:tc>
          <w:tcPr>
            <w:tcW w:w="1418" w:type="dxa"/>
            <w:noWrap/>
            <w:hideMark/>
          </w:tcPr>
          <w:p w14:paraId="32182FEF" w14:textId="77777777" w:rsidR="00B57EAB" w:rsidRPr="00B57EAB" w:rsidRDefault="00B57EAB" w:rsidP="00B57EAB">
            <w:pPr>
              <w:rPr>
                <w:sz w:val="20"/>
                <w:szCs w:val="20"/>
              </w:rPr>
            </w:pPr>
            <w:r w:rsidRPr="00B57EAB">
              <w:rPr>
                <w:sz w:val="20"/>
                <w:szCs w:val="20"/>
              </w:rPr>
              <w:t>kg 1,4-DCB</w:t>
            </w:r>
          </w:p>
        </w:tc>
        <w:tc>
          <w:tcPr>
            <w:tcW w:w="2126" w:type="dxa"/>
            <w:noWrap/>
            <w:hideMark/>
          </w:tcPr>
          <w:p w14:paraId="64F3A6CF" w14:textId="77777777" w:rsidR="00B57EAB" w:rsidRPr="00B57EAB" w:rsidRDefault="00B57EAB" w:rsidP="00B57EAB">
            <w:pPr>
              <w:jc w:val="right"/>
              <w:rPr>
                <w:sz w:val="20"/>
                <w:szCs w:val="20"/>
              </w:rPr>
            </w:pPr>
            <w:r w:rsidRPr="00B57EAB">
              <w:rPr>
                <w:sz w:val="20"/>
                <w:szCs w:val="20"/>
              </w:rPr>
              <w:t>1.49E-02</w:t>
            </w:r>
          </w:p>
        </w:tc>
        <w:tc>
          <w:tcPr>
            <w:tcW w:w="992" w:type="dxa"/>
            <w:noWrap/>
            <w:hideMark/>
          </w:tcPr>
          <w:p w14:paraId="72533BDF" w14:textId="77777777" w:rsidR="00B57EAB" w:rsidRPr="00B57EAB" w:rsidRDefault="00B57EAB" w:rsidP="00B57EAB">
            <w:pPr>
              <w:jc w:val="right"/>
              <w:rPr>
                <w:sz w:val="20"/>
                <w:szCs w:val="20"/>
              </w:rPr>
            </w:pPr>
            <w:r w:rsidRPr="00B57EAB">
              <w:rPr>
                <w:sz w:val="20"/>
                <w:szCs w:val="20"/>
              </w:rPr>
              <w:t>3.69E-02</w:t>
            </w:r>
          </w:p>
        </w:tc>
        <w:tc>
          <w:tcPr>
            <w:tcW w:w="999" w:type="dxa"/>
            <w:noWrap/>
            <w:hideMark/>
          </w:tcPr>
          <w:p w14:paraId="7E2CD0B2" w14:textId="77777777" w:rsidR="00B57EAB" w:rsidRPr="00B57EAB" w:rsidRDefault="00B57EAB" w:rsidP="00B57EAB">
            <w:pPr>
              <w:jc w:val="right"/>
              <w:rPr>
                <w:sz w:val="20"/>
                <w:szCs w:val="20"/>
              </w:rPr>
            </w:pPr>
            <w:r w:rsidRPr="00B57EAB">
              <w:rPr>
                <w:sz w:val="20"/>
                <w:szCs w:val="20"/>
              </w:rPr>
              <w:t>3.44E-02</w:t>
            </w:r>
          </w:p>
        </w:tc>
        <w:tc>
          <w:tcPr>
            <w:tcW w:w="1076" w:type="dxa"/>
            <w:noWrap/>
            <w:hideMark/>
          </w:tcPr>
          <w:p w14:paraId="184F3214" w14:textId="77777777" w:rsidR="00B57EAB" w:rsidRPr="00B57EAB" w:rsidRDefault="00B57EAB" w:rsidP="00B57EAB">
            <w:pPr>
              <w:jc w:val="right"/>
              <w:rPr>
                <w:sz w:val="20"/>
                <w:szCs w:val="20"/>
              </w:rPr>
            </w:pPr>
            <w:r w:rsidRPr="00B57EAB">
              <w:rPr>
                <w:sz w:val="20"/>
                <w:szCs w:val="20"/>
              </w:rPr>
              <w:t>3.63E-02</w:t>
            </w:r>
          </w:p>
        </w:tc>
      </w:tr>
      <w:tr w:rsidR="00B57EAB" w:rsidRPr="00B57EAB" w14:paraId="237E2FF9" w14:textId="77777777" w:rsidTr="00B57EAB">
        <w:trPr>
          <w:trHeight w:val="288"/>
        </w:trPr>
        <w:tc>
          <w:tcPr>
            <w:tcW w:w="2405" w:type="dxa"/>
            <w:noWrap/>
            <w:hideMark/>
          </w:tcPr>
          <w:p w14:paraId="24048CCC" w14:textId="77777777" w:rsidR="00B57EAB" w:rsidRPr="00B57EAB" w:rsidRDefault="00B57EAB" w:rsidP="00B57EAB">
            <w:pPr>
              <w:rPr>
                <w:sz w:val="20"/>
                <w:szCs w:val="20"/>
              </w:rPr>
            </w:pPr>
            <w:r w:rsidRPr="00B57EAB">
              <w:rPr>
                <w:sz w:val="20"/>
                <w:szCs w:val="20"/>
              </w:rPr>
              <w:t>Land use</w:t>
            </w:r>
          </w:p>
        </w:tc>
        <w:tc>
          <w:tcPr>
            <w:tcW w:w="1418" w:type="dxa"/>
            <w:noWrap/>
            <w:hideMark/>
          </w:tcPr>
          <w:p w14:paraId="5D9A28A0" w14:textId="77777777" w:rsidR="00B57EAB" w:rsidRPr="00B57EAB" w:rsidRDefault="00B57EAB" w:rsidP="00B57EAB">
            <w:pPr>
              <w:rPr>
                <w:sz w:val="20"/>
                <w:szCs w:val="20"/>
              </w:rPr>
            </w:pPr>
            <w:r w:rsidRPr="00B57EAB">
              <w:rPr>
                <w:sz w:val="20"/>
                <w:szCs w:val="20"/>
              </w:rPr>
              <w:t>m2a crop eq</w:t>
            </w:r>
          </w:p>
        </w:tc>
        <w:tc>
          <w:tcPr>
            <w:tcW w:w="2126" w:type="dxa"/>
            <w:noWrap/>
            <w:hideMark/>
          </w:tcPr>
          <w:p w14:paraId="7E157D01" w14:textId="77777777" w:rsidR="00B57EAB" w:rsidRPr="00B57EAB" w:rsidRDefault="00B57EAB" w:rsidP="00B57EAB">
            <w:pPr>
              <w:jc w:val="right"/>
              <w:rPr>
                <w:sz w:val="20"/>
                <w:szCs w:val="20"/>
              </w:rPr>
            </w:pPr>
            <w:r w:rsidRPr="00B57EAB">
              <w:rPr>
                <w:sz w:val="20"/>
                <w:szCs w:val="20"/>
              </w:rPr>
              <w:t>7.37E-04</w:t>
            </w:r>
          </w:p>
        </w:tc>
        <w:tc>
          <w:tcPr>
            <w:tcW w:w="992" w:type="dxa"/>
            <w:noWrap/>
            <w:hideMark/>
          </w:tcPr>
          <w:p w14:paraId="19698B5F" w14:textId="77777777" w:rsidR="00B57EAB" w:rsidRPr="00B57EAB" w:rsidRDefault="00B57EAB" w:rsidP="00B57EAB">
            <w:pPr>
              <w:jc w:val="right"/>
              <w:rPr>
                <w:sz w:val="20"/>
                <w:szCs w:val="20"/>
              </w:rPr>
            </w:pPr>
            <w:r w:rsidRPr="00B57EAB">
              <w:rPr>
                <w:sz w:val="20"/>
                <w:szCs w:val="20"/>
              </w:rPr>
              <w:t>1.45E-03</w:t>
            </w:r>
          </w:p>
        </w:tc>
        <w:tc>
          <w:tcPr>
            <w:tcW w:w="999" w:type="dxa"/>
            <w:noWrap/>
            <w:hideMark/>
          </w:tcPr>
          <w:p w14:paraId="011486AB" w14:textId="77777777" w:rsidR="00B57EAB" w:rsidRPr="00B57EAB" w:rsidRDefault="00B57EAB" w:rsidP="00B57EAB">
            <w:pPr>
              <w:jc w:val="right"/>
              <w:rPr>
                <w:sz w:val="20"/>
                <w:szCs w:val="20"/>
              </w:rPr>
            </w:pPr>
            <w:r w:rsidRPr="00B57EAB">
              <w:rPr>
                <w:sz w:val="20"/>
                <w:szCs w:val="20"/>
              </w:rPr>
              <w:t>1.33E-03</w:t>
            </w:r>
          </w:p>
        </w:tc>
        <w:tc>
          <w:tcPr>
            <w:tcW w:w="1076" w:type="dxa"/>
            <w:noWrap/>
            <w:hideMark/>
          </w:tcPr>
          <w:p w14:paraId="0B7F08B8" w14:textId="77777777" w:rsidR="00B57EAB" w:rsidRPr="00B57EAB" w:rsidRDefault="00B57EAB" w:rsidP="00B57EAB">
            <w:pPr>
              <w:jc w:val="right"/>
              <w:rPr>
                <w:sz w:val="20"/>
                <w:szCs w:val="20"/>
              </w:rPr>
            </w:pPr>
            <w:r w:rsidRPr="00B57EAB">
              <w:rPr>
                <w:sz w:val="20"/>
                <w:szCs w:val="20"/>
              </w:rPr>
              <w:t>1.40E-03</w:t>
            </w:r>
          </w:p>
        </w:tc>
      </w:tr>
      <w:tr w:rsidR="00B57EAB" w:rsidRPr="00B57EAB" w14:paraId="6166D61D" w14:textId="77777777" w:rsidTr="00B57EAB">
        <w:trPr>
          <w:trHeight w:val="288"/>
        </w:trPr>
        <w:tc>
          <w:tcPr>
            <w:tcW w:w="2405" w:type="dxa"/>
            <w:noWrap/>
            <w:hideMark/>
          </w:tcPr>
          <w:p w14:paraId="3B031A1E" w14:textId="77777777" w:rsidR="00B57EAB" w:rsidRPr="00B57EAB" w:rsidRDefault="00B57EAB" w:rsidP="00B57EAB">
            <w:pPr>
              <w:rPr>
                <w:sz w:val="20"/>
                <w:szCs w:val="20"/>
              </w:rPr>
            </w:pPr>
            <w:r w:rsidRPr="00B57EAB">
              <w:rPr>
                <w:sz w:val="20"/>
                <w:szCs w:val="20"/>
              </w:rPr>
              <w:t>Mineral resource scarcity</w:t>
            </w:r>
          </w:p>
        </w:tc>
        <w:tc>
          <w:tcPr>
            <w:tcW w:w="1418" w:type="dxa"/>
            <w:noWrap/>
            <w:hideMark/>
          </w:tcPr>
          <w:p w14:paraId="010DCB01" w14:textId="77777777" w:rsidR="00B57EAB" w:rsidRPr="00B57EAB" w:rsidRDefault="00B57EAB" w:rsidP="00B57EAB">
            <w:pPr>
              <w:rPr>
                <w:sz w:val="20"/>
                <w:szCs w:val="20"/>
              </w:rPr>
            </w:pPr>
            <w:r w:rsidRPr="00B57EAB">
              <w:rPr>
                <w:sz w:val="20"/>
                <w:szCs w:val="20"/>
              </w:rPr>
              <w:t>kg Cu eq</w:t>
            </w:r>
          </w:p>
        </w:tc>
        <w:tc>
          <w:tcPr>
            <w:tcW w:w="2126" w:type="dxa"/>
            <w:noWrap/>
            <w:hideMark/>
          </w:tcPr>
          <w:p w14:paraId="093195EC" w14:textId="77777777" w:rsidR="00B57EAB" w:rsidRPr="00B57EAB" w:rsidRDefault="00B57EAB" w:rsidP="00B57EAB">
            <w:pPr>
              <w:jc w:val="right"/>
              <w:rPr>
                <w:sz w:val="20"/>
                <w:szCs w:val="20"/>
              </w:rPr>
            </w:pPr>
            <w:r w:rsidRPr="00B57EAB">
              <w:rPr>
                <w:sz w:val="20"/>
                <w:szCs w:val="20"/>
              </w:rPr>
              <w:t>6.96E-05</w:t>
            </w:r>
          </w:p>
        </w:tc>
        <w:tc>
          <w:tcPr>
            <w:tcW w:w="992" w:type="dxa"/>
            <w:noWrap/>
            <w:hideMark/>
          </w:tcPr>
          <w:p w14:paraId="4E5126D2" w14:textId="77777777" w:rsidR="00B57EAB" w:rsidRPr="00B57EAB" w:rsidRDefault="00B57EAB" w:rsidP="00B57EAB">
            <w:pPr>
              <w:jc w:val="right"/>
              <w:rPr>
                <w:sz w:val="20"/>
                <w:szCs w:val="20"/>
              </w:rPr>
            </w:pPr>
            <w:r w:rsidRPr="00B57EAB">
              <w:rPr>
                <w:sz w:val="20"/>
                <w:szCs w:val="20"/>
              </w:rPr>
              <w:t>1.09E-04</w:t>
            </w:r>
          </w:p>
        </w:tc>
        <w:tc>
          <w:tcPr>
            <w:tcW w:w="999" w:type="dxa"/>
            <w:noWrap/>
            <w:hideMark/>
          </w:tcPr>
          <w:p w14:paraId="1A4B3273" w14:textId="77777777" w:rsidR="00B57EAB" w:rsidRPr="00B57EAB" w:rsidRDefault="00B57EAB" w:rsidP="00B57EAB">
            <w:pPr>
              <w:jc w:val="right"/>
              <w:rPr>
                <w:sz w:val="20"/>
                <w:szCs w:val="20"/>
              </w:rPr>
            </w:pPr>
            <w:r w:rsidRPr="00B57EAB">
              <w:rPr>
                <w:sz w:val="20"/>
                <w:szCs w:val="20"/>
              </w:rPr>
              <w:t>1.13E-04</w:t>
            </w:r>
          </w:p>
        </w:tc>
        <w:tc>
          <w:tcPr>
            <w:tcW w:w="1076" w:type="dxa"/>
            <w:noWrap/>
            <w:hideMark/>
          </w:tcPr>
          <w:p w14:paraId="51DB3400" w14:textId="77777777" w:rsidR="00B57EAB" w:rsidRPr="00B57EAB" w:rsidRDefault="00B57EAB" w:rsidP="00B57EAB">
            <w:pPr>
              <w:jc w:val="right"/>
              <w:rPr>
                <w:sz w:val="20"/>
                <w:szCs w:val="20"/>
              </w:rPr>
            </w:pPr>
            <w:r w:rsidRPr="00B57EAB">
              <w:rPr>
                <w:sz w:val="20"/>
                <w:szCs w:val="20"/>
              </w:rPr>
              <w:t>1.05E-04</w:t>
            </w:r>
          </w:p>
        </w:tc>
      </w:tr>
      <w:tr w:rsidR="00B57EAB" w:rsidRPr="00B57EAB" w14:paraId="6649F420" w14:textId="77777777" w:rsidTr="00B57EAB">
        <w:trPr>
          <w:trHeight w:val="288"/>
        </w:trPr>
        <w:tc>
          <w:tcPr>
            <w:tcW w:w="2405" w:type="dxa"/>
            <w:noWrap/>
            <w:hideMark/>
          </w:tcPr>
          <w:p w14:paraId="413108E0" w14:textId="77777777" w:rsidR="00B57EAB" w:rsidRPr="00B57EAB" w:rsidRDefault="00B57EAB" w:rsidP="00B57EAB">
            <w:pPr>
              <w:rPr>
                <w:sz w:val="20"/>
                <w:szCs w:val="20"/>
              </w:rPr>
            </w:pPr>
            <w:r w:rsidRPr="00B57EAB">
              <w:rPr>
                <w:sz w:val="20"/>
                <w:szCs w:val="20"/>
              </w:rPr>
              <w:t>Fossil resource scarcity</w:t>
            </w:r>
          </w:p>
        </w:tc>
        <w:tc>
          <w:tcPr>
            <w:tcW w:w="1418" w:type="dxa"/>
            <w:noWrap/>
            <w:hideMark/>
          </w:tcPr>
          <w:p w14:paraId="112E5A43" w14:textId="77777777" w:rsidR="00B57EAB" w:rsidRPr="00B57EAB" w:rsidRDefault="00B57EAB" w:rsidP="00B57EAB">
            <w:pPr>
              <w:rPr>
                <w:sz w:val="20"/>
                <w:szCs w:val="20"/>
              </w:rPr>
            </w:pPr>
            <w:r w:rsidRPr="00B57EAB">
              <w:rPr>
                <w:sz w:val="20"/>
                <w:szCs w:val="20"/>
              </w:rPr>
              <w:t>kg oil eq</w:t>
            </w:r>
          </w:p>
        </w:tc>
        <w:tc>
          <w:tcPr>
            <w:tcW w:w="2126" w:type="dxa"/>
            <w:noWrap/>
            <w:hideMark/>
          </w:tcPr>
          <w:p w14:paraId="3A496A7F" w14:textId="77777777" w:rsidR="00B57EAB" w:rsidRPr="00B57EAB" w:rsidRDefault="00B57EAB" w:rsidP="00B57EAB">
            <w:pPr>
              <w:jc w:val="right"/>
              <w:rPr>
                <w:sz w:val="20"/>
                <w:szCs w:val="20"/>
              </w:rPr>
            </w:pPr>
            <w:r w:rsidRPr="00B57EAB">
              <w:rPr>
                <w:sz w:val="20"/>
                <w:szCs w:val="20"/>
              </w:rPr>
              <w:t>6.40E-03</w:t>
            </w:r>
          </w:p>
        </w:tc>
        <w:tc>
          <w:tcPr>
            <w:tcW w:w="992" w:type="dxa"/>
            <w:noWrap/>
            <w:hideMark/>
          </w:tcPr>
          <w:p w14:paraId="2D875FC8" w14:textId="77777777" w:rsidR="00B57EAB" w:rsidRPr="00B57EAB" w:rsidRDefault="00B57EAB" w:rsidP="00B57EAB">
            <w:pPr>
              <w:jc w:val="right"/>
              <w:rPr>
                <w:sz w:val="20"/>
                <w:szCs w:val="20"/>
              </w:rPr>
            </w:pPr>
            <w:r w:rsidRPr="00B57EAB">
              <w:rPr>
                <w:sz w:val="20"/>
                <w:szCs w:val="20"/>
              </w:rPr>
              <w:t>1.28E-02</w:t>
            </w:r>
          </w:p>
        </w:tc>
        <w:tc>
          <w:tcPr>
            <w:tcW w:w="999" w:type="dxa"/>
            <w:noWrap/>
            <w:hideMark/>
          </w:tcPr>
          <w:p w14:paraId="3D7246BC" w14:textId="77777777" w:rsidR="00B57EAB" w:rsidRPr="00B57EAB" w:rsidRDefault="00B57EAB" w:rsidP="00B57EAB">
            <w:pPr>
              <w:jc w:val="right"/>
              <w:rPr>
                <w:sz w:val="20"/>
                <w:szCs w:val="20"/>
              </w:rPr>
            </w:pPr>
            <w:r w:rsidRPr="00B57EAB">
              <w:rPr>
                <w:sz w:val="20"/>
                <w:szCs w:val="20"/>
              </w:rPr>
              <w:t>1.58E-02</w:t>
            </w:r>
          </w:p>
        </w:tc>
        <w:tc>
          <w:tcPr>
            <w:tcW w:w="1076" w:type="dxa"/>
            <w:noWrap/>
            <w:hideMark/>
          </w:tcPr>
          <w:p w14:paraId="64107449" w14:textId="77777777" w:rsidR="00B57EAB" w:rsidRPr="00B57EAB" w:rsidRDefault="00B57EAB" w:rsidP="00B57EAB">
            <w:pPr>
              <w:jc w:val="right"/>
              <w:rPr>
                <w:sz w:val="20"/>
                <w:szCs w:val="20"/>
              </w:rPr>
            </w:pPr>
            <w:r w:rsidRPr="00B57EAB">
              <w:rPr>
                <w:sz w:val="20"/>
                <w:szCs w:val="20"/>
              </w:rPr>
              <w:t>1.23E-02</w:t>
            </w:r>
          </w:p>
        </w:tc>
      </w:tr>
      <w:tr w:rsidR="00B57EAB" w:rsidRPr="00B57EAB" w14:paraId="0C4901E8" w14:textId="77777777" w:rsidTr="00B57EAB">
        <w:trPr>
          <w:trHeight w:val="288"/>
        </w:trPr>
        <w:tc>
          <w:tcPr>
            <w:tcW w:w="2405" w:type="dxa"/>
            <w:noWrap/>
            <w:hideMark/>
          </w:tcPr>
          <w:p w14:paraId="3E276723" w14:textId="77777777" w:rsidR="00B57EAB" w:rsidRPr="00B57EAB" w:rsidRDefault="00B57EAB" w:rsidP="00B57EAB">
            <w:pPr>
              <w:rPr>
                <w:sz w:val="20"/>
                <w:szCs w:val="20"/>
              </w:rPr>
            </w:pPr>
            <w:r w:rsidRPr="00B57EAB">
              <w:rPr>
                <w:sz w:val="20"/>
                <w:szCs w:val="20"/>
              </w:rPr>
              <w:t>Water consumption</w:t>
            </w:r>
          </w:p>
        </w:tc>
        <w:tc>
          <w:tcPr>
            <w:tcW w:w="1418" w:type="dxa"/>
            <w:noWrap/>
            <w:hideMark/>
          </w:tcPr>
          <w:p w14:paraId="08AC78B1" w14:textId="77777777" w:rsidR="00B57EAB" w:rsidRPr="00B57EAB" w:rsidRDefault="00B57EAB" w:rsidP="00B57EAB">
            <w:pPr>
              <w:rPr>
                <w:sz w:val="20"/>
                <w:szCs w:val="20"/>
              </w:rPr>
            </w:pPr>
            <w:r w:rsidRPr="00B57EAB">
              <w:rPr>
                <w:sz w:val="20"/>
                <w:szCs w:val="20"/>
              </w:rPr>
              <w:t>m3</w:t>
            </w:r>
          </w:p>
        </w:tc>
        <w:tc>
          <w:tcPr>
            <w:tcW w:w="2126" w:type="dxa"/>
            <w:noWrap/>
            <w:hideMark/>
          </w:tcPr>
          <w:p w14:paraId="5B9EE302" w14:textId="77777777" w:rsidR="00B57EAB" w:rsidRPr="00B57EAB" w:rsidRDefault="00B57EAB" w:rsidP="00B57EAB">
            <w:pPr>
              <w:jc w:val="right"/>
              <w:rPr>
                <w:sz w:val="20"/>
                <w:szCs w:val="20"/>
              </w:rPr>
            </w:pPr>
            <w:r w:rsidRPr="00B57EAB">
              <w:rPr>
                <w:sz w:val="20"/>
                <w:szCs w:val="20"/>
              </w:rPr>
              <w:t>1.15E-04</w:t>
            </w:r>
          </w:p>
        </w:tc>
        <w:tc>
          <w:tcPr>
            <w:tcW w:w="992" w:type="dxa"/>
            <w:noWrap/>
            <w:hideMark/>
          </w:tcPr>
          <w:p w14:paraId="7977B337" w14:textId="77777777" w:rsidR="00B57EAB" w:rsidRPr="00B57EAB" w:rsidRDefault="00B57EAB" w:rsidP="00B57EAB">
            <w:pPr>
              <w:jc w:val="right"/>
              <w:rPr>
                <w:sz w:val="20"/>
                <w:szCs w:val="20"/>
              </w:rPr>
            </w:pPr>
            <w:r w:rsidRPr="00B57EAB">
              <w:rPr>
                <w:sz w:val="20"/>
                <w:szCs w:val="20"/>
              </w:rPr>
              <w:t>2.76E-04</w:t>
            </w:r>
          </w:p>
        </w:tc>
        <w:tc>
          <w:tcPr>
            <w:tcW w:w="999" w:type="dxa"/>
            <w:noWrap/>
            <w:hideMark/>
          </w:tcPr>
          <w:p w14:paraId="00234FFA" w14:textId="77777777" w:rsidR="00B57EAB" w:rsidRPr="00B57EAB" w:rsidRDefault="00B57EAB" w:rsidP="00B57EAB">
            <w:pPr>
              <w:jc w:val="right"/>
              <w:rPr>
                <w:sz w:val="20"/>
                <w:szCs w:val="20"/>
              </w:rPr>
            </w:pPr>
            <w:r w:rsidRPr="00B57EAB">
              <w:rPr>
                <w:sz w:val="20"/>
                <w:szCs w:val="20"/>
              </w:rPr>
              <w:t>3.77E-04</w:t>
            </w:r>
          </w:p>
        </w:tc>
        <w:tc>
          <w:tcPr>
            <w:tcW w:w="1076" w:type="dxa"/>
            <w:noWrap/>
            <w:hideMark/>
          </w:tcPr>
          <w:p w14:paraId="65BFDB32" w14:textId="77777777" w:rsidR="00B57EAB" w:rsidRPr="00B57EAB" w:rsidRDefault="00B57EAB" w:rsidP="006348B2">
            <w:pPr>
              <w:keepNext/>
              <w:jc w:val="right"/>
              <w:rPr>
                <w:sz w:val="20"/>
                <w:szCs w:val="20"/>
              </w:rPr>
            </w:pPr>
            <w:r w:rsidRPr="00B57EAB">
              <w:rPr>
                <w:sz w:val="20"/>
                <w:szCs w:val="20"/>
              </w:rPr>
              <w:t>7.92E-04</w:t>
            </w:r>
          </w:p>
        </w:tc>
      </w:tr>
    </w:tbl>
    <w:p w14:paraId="2DB0AB67" w14:textId="0BDAAC92" w:rsidR="00685F0B" w:rsidRDefault="006348B2" w:rsidP="00685F0B">
      <w:pPr>
        <w:pStyle w:val="Caption"/>
      </w:pPr>
      <w:r>
        <w:t xml:space="preserve">Table </w:t>
      </w:r>
      <w:r>
        <w:fldChar w:fldCharType="begin"/>
      </w:r>
      <w:r>
        <w:instrText xml:space="preserve"> SEQ Table \* ARABIC </w:instrText>
      </w:r>
      <w:r>
        <w:fldChar w:fldCharType="separate"/>
      </w:r>
      <w:r>
        <w:rPr>
          <w:noProof/>
        </w:rPr>
        <w:t>3</w:t>
      </w:r>
      <w:r>
        <w:fldChar w:fldCharType="end"/>
      </w:r>
      <w:r>
        <w:t>: Tourniquet environmental impacts per us</w:t>
      </w:r>
      <w:r w:rsidR="00685F0B">
        <w:t>e</w:t>
      </w:r>
    </w:p>
    <w:p w14:paraId="2DF636E0" w14:textId="77777777" w:rsidR="00685F0B" w:rsidRPr="00685F0B" w:rsidRDefault="00685F0B" w:rsidP="00685F0B"/>
    <w:p w14:paraId="185F2B08" w14:textId="5E6B067F" w:rsidR="00251CCA" w:rsidRDefault="007F261D" w:rsidP="007F261D">
      <w:pPr>
        <w:pStyle w:val="Heading3"/>
      </w:pPr>
      <w:r>
        <w:t>GHG emission savings</w:t>
      </w:r>
    </w:p>
    <w:p w14:paraId="00B5385F" w14:textId="6FA0B71E" w:rsidR="00BC41F4" w:rsidRPr="007F261D" w:rsidRDefault="00BC41F4" w:rsidP="007F261D">
      <w:r>
        <w:t>B</w:t>
      </w:r>
      <w:r w:rsidR="007F261D">
        <w:t xml:space="preserve">y switching from single-use tourniquets to reusable Daisygrip </w:t>
      </w:r>
      <w:r>
        <w:t xml:space="preserve">tourniquets, </w:t>
      </w:r>
      <w:r w:rsidR="00685F0B">
        <w:t>GGC</w:t>
      </w:r>
      <w:r w:rsidR="007F261D">
        <w:t xml:space="preserve"> could save </w:t>
      </w:r>
      <w:r>
        <w:t xml:space="preserve">38,754 kgCO2e a year based on current procurement figures, this is the same as </w:t>
      </w:r>
      <w:r w:rsidR="00BF1010">
        <w:t xml:space="preserve">one person </w:t>
      </w:r>
      <w:r>
        <w:t xml:space="preserve">flying return from London to Hong Kong 11 times. </w:t>
      </w:r>
    </w:p>
    <w:tbl>
      <w:tblPr>
        <w:tblStyle w:val="TableGrid"/>
        <w:tblW w:w="0" w:type="auto"/>
        <w:tblLook w:val="04A0" w:firstRow="1" w:lastRow="0" w:firstColumn="1" w:lastColumn="0" w:noHBand="0" w:noVBand="1"/>
      </w:tblPr>
      <w:tblGrid>
        <w:gridCol w:w="4390"/>
        <w:gridCol w:w="1134"/>
        <w:gridCol w:w="3492"/>
      </w:tblGrid>
      <w:tr w:rsidR="007F261D" w14:paraId="21BB815A" w14:textId="14AE6383" w:rsidTr="00BC41F4">
        <w:tc>
          <w:tcPr>
            <w:tcW w:w="4390" w:type="dxa"/>
          </w:tcPr>
          <w:p w14:paraId="097D4D3F" w14:textId="77777777" w:rsidR="007F261D" w:rsidRDefault="007F261D" w:rsidP="00BC41F4"/>
        </w:tc>
        <w:tc>
          <w:tcPr>
            <w:tcW w:w="1134" w:type="dxa"/>
            <w:shd w:val="clear" w:color="auto" w:fill="E2EFD9" w:themeFill="accent6" w:themeFillTint="33"/>
          </w:tcPr>
          <w:p w14:paraId="2709101A" w14:textId="484AAF25" w:rsidR="007F261D" w:rsidRPr="00BC41F4" w:rsidRDefault="007F261D" w:rsidP="00BC41F4">
            <w:pPr>
              <w:jc w:val="right"/>
              <w:rPr>
                <w:b/>
                <w:bCs/>
              </w:rPr>
            </w:pPr>
            <w:r w:rsidRPr="00BC41F4">
              <w:rPr>
                <w:b/>
                <w:bCs/>
              </w:rPr>
              <w:t>Uses per year</w:t>
            </w:r>
          </w:p>
        </w:tc>
        <w:tc>
          <w:tcPr>
            <w:tcW w:w="3492" w:type="dxa"/>
            <w:shd w:val="clear" w:color="auto" w:fill="E2EFD9" w:themeFill="accent6" w:themeFillTint="33"/>
          </w:tcPr>
          <w:p w14:paraId="012C653F" w14:textId="4364054B" w:rsidR="007F261D" w:rsidRPr="00BC41F4" w:rsidRDefault="007F261D" w:rsidP="00BC41F4">
            <w:pPr>
              <w:jc w:val="right"/>
              <w:rPr>
                <w:b/>
                <w:bCs/>
              </w:rPr>
            </w:pPr>
            <w:r w:rsidRPr="00BC41F4">
              <w:rPr>
                <w:b/>
                <w:bCs/>
              </w:rPr>
              <w:t>GHG emissions saving per year (kgCO2e)</w:t>
            </w:r>
          </w:p>
        </w:tc>
      </w:tr>
      <w:tr w:rsidR="007F261D" w14:paraId="2680CA50" w14:textId="1F34CE65" w:rsidTr="00BC41F4">
        <w:tc>
          <w:tcPr>
            <w:tcW w:w="4390" w:type="dxa"/>
          </w:tcPr>
          <w:p w14:paraId="315E0D3F" w14:textId="62A88B2F" w:rsidR="007F261D" w:rsidRDefault="007F261D" w:rsidP="00BC41F4">
            <w:r>
              <w:t xml:space="preserve">Switching from single-use BD to Daisygrip </w:t>
            </w:r>
          </w:p>
        </w:tc>
        <w:tc>
          <w:tcPr>
            <w:tcW w:w="1134" w:type="dxa"/>
          </w:tcPr>
          <w:p w14:paraId="002F0288" w14:textId="05B10C6C" w:rsidR="007F261D" w:rsidRDefault="00BC41F4" w:rsidP="00BC41F4">
            <w:pPr>
              <w:jc w:val="right"/>
            </w:pPr>
            <w:r>
              <w:t>320,475</w:t>
            </w:r>
          </w:p>
        </w:tc>
        <w:tc>
          <w:tcPr>
            <w:tcW w:w="3492" w:type="dxa"/>
          </w:tcPr>
          <w:p w14:paraId="47DECE7C" w14:textId="5ED95928" w:rsidR="007F261D" w:rsidRDefault="00BC41F4" w:rsidP="00BC41F4">
            <w:pPr>
              <w:jc w:val="right"/>
            </w:pPr>
            <w:r>
              <w:t>5,284.92</w:t>
            </w:r>
          </w:p>
        </w:tc>
      </w:tr>
      <w:tr w:rsidR="007F261D" w14:paraId="0D90A0D1" w14:textId="49A44F90" w:rsidTr="00BC41F4">
        <w:tc>
          <w:tcPr>
            <w:tcW w:w="4390" w:type="dxa"/>
          </w:tcPr>
          <w:p w14:paraId="35DE2DAA" w14:textId="0BC6BF60" w:rsidR="007F261D" w:rsidRDefault="007F261D" w:rsidP="00BC41F4">
            <w:r>
              <w:lastRenderedPageBreak/>
              <w:t xml:space="preserve">Switching from single-use Vygon to Daisygrip </w:t>
            </w:r>
          </w:p>
        </w:tc>
        <w:tc>
          <w:tcPr>
            <w:tcW w:w="1134" w:type="dxa"/>
          </w:tcPr>
          <w:p w14:paraId="278AA960" w14:textId="289220F2" w:rsidR="007F261D" w:rsidRDefault="00BC41F4" w:rsidP="00BC41F4">
            <w:pPr>
              <w:jc w:val="right"/>
            </w:pPr>
            <w:r>
              <w:t>80,700</w:t>
            </w:r>
          </w:p>
        </w:tc>
        <w:tc>
          <w:tcPr>
            <w:tcW w:w="3492" w:type="dxa"/>
          </w:tcPr>
          <w:p w14:paraId="3F8D27AC" w14:textId="0E447F19" w:rsidR="007F261D" w:rsidRDefault="00BC41F4" w:rsidP="00BC41F4">
            <w:pPr>
              <w:jc w:val="right"/>
            </w:pPr>
            <w:r>
              <w:t>2,256.73</w:t>
            </w:r>
          </w:p>
        </w:tc>
      </w:tr>
      <w:tr w:rsidR="007F261D" w14:paraId="4E9899BE" w14:textId="2537BB97" w:rsidTr="00BC41F4">
        <w:tc>
          <w:tcPr>
            <w:tcW w:w="4390" w:type="dxa"/>
          </w:tcPr>
          <w:p w14:paraId="00763CB5" w14:textId="5B70A715" w:rsidR="007F261D" w:rsidRDefault="007F261D" w:rsidP="00BC41F4">
            <w:r>
              <w:t xml:space="preserve">Switching from single-use Medline to Daisygrip </w:t>
            </w:r>
          </w:p>
        </w:tc>
        <w:tc>
          <w:tcPr>
            <w:tcW w:w="1134" w:type="dxa"/>
          </w:tcPr>
          <w:p w14:paraId="5303A9DE" w14:textId="7DC34420" w:rsidR="007F261D" w:rsidRDefault="00BC41F4" w:rsidP="00BC41F4">
            <w:pPr>
              <w:jc w:val="right"/>
            </w:pPr>
            <w:r>
              <w:t>1,318,800</w:t>
            </w:r>
          </w:p>
        </w:tc>
        <w:tc>
          <w:tcPr>
            <w:tcW w:w="3492" w:type="dxa"/>
          </w:tcPr>
          <w:p w14:paraId="66245BFB" w14:textId="02F2DC9D" w:rsidR="007F261D" w:rsidRDefault="00BC41F4" w:rsidP="00BC41F4">
            <w:pPr>
              <w:jc w:val="right"/>
            </w:pPr>
            <w:r>
              <w:t>831,212.06</w:t>
            </w:r>
          </w:p>
        </w:tc>
      </w:tr>
      <w:tr w:rsidR="007F261D" w14:paraId="3DC43F12" w14:textId="77777777" w:rsidTr="00BC41F4">
        <w:tc>
          <w:tcPr>
            <w:tcW w:w="4390" w:type="dxa"/>
          </w:tcPr>
          <w:p w14:paraId="2AEBE578" w14:textId="7F46D348" w:rsidR="007F261D" w:rsidRPr="00BC41F4" w:rsidRDefault="007F261D" w:rsidP="00BC41F4">
            <w:pPr>
              <w:rPr>
                <w:i/>
                <w:iCs/>
              </w:rPr>
            </w:pPr>
            <w:r w:rsidRPr="00BC41F4">
              <w:rPr>
                <w:i/>
                <w:iCs/>
              </w:rPr>
              <w:t>Total</w:t>
            </w:r>
          </w:p>
        </w:tc>
        <w:tc>
          <w:tcPr>
            <w:tcW w:w="1134" w:type="dxa"/>
          </w:tcPr>
          <w:p w14:paraId="36CF03A9" w14:textId="7DB923B0" w:rsidR="007F261D" w:rsidRPr="00BC41F4" w:rsidRDefault="00BC41F4" w:rsidP="00BC41F4">
            <w:pPr>
              <w:jc w:val="right"/>
              <w:rPr>
                <w:i/>
                <w:iCs/>
              </w:rPr>
            </w:pPr>
            <w:r w:rsidRPr="00BC41F4">
              <w:rPr>
                <w:i/>
                <w:iCs/>
              </w:rPr>
              <w:t>1,719,975</w:t>
            </w:r>
          </w:p>
        </w:tc>
        <w:tc>
          <w:tcPr>
            <w:tcW w:w="3492" w:type="dxa"/>
          </w:tcPr>
          <w:p w14:paraId="3ECC46C8" w14:textId="071C97CB" w:rsidR="007F261D" w:rsidRPr="00BC41F4" w:rsidRDefault="00BC41F4" w:rsidP="006348B2">
            <w:pPr>
              <w:keepNext/>
              <w:jc w:val="right"/>
              <w:rPr>
                <w:i/>
                <w:iCs/>
              </w:rPr>
            </w:pPr>
            <w:r w:rsidRPr="00BC41F4">
              <w:rPr>
                <w:i/>
                <w:iCs/>
              </w:rPr>
              <w:t>38,753.71</w:t>
            </w:r>
          </w:p>
        </w:tc>
      </w:tr>
    </w:tbl>
    <w:p w14:paraId="54F289D4" w14:textId="0BB3BB16" w:rsidR="007F261D" w:rsidRPr="007F261D" w:rsidRDefault="006348B2" w:rsidP="006348B2">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w:t>
      </w:r>
      <w:r w:rsidR="00685F0B">
        <w:t xml:space="preserve">GGC </w:t>
      </w:r>
      <w:r>
        <w:t>GHG emission savings</w:t>
      </w:r>
    </w:p>
    <w:p w14:paraId="6DE3C4C9" w14:textId="3931FDA9" w:rsidR="000B162F" w:rsidRDefault="000B162F" w:rsidP="000B162F">
      <w:pPr>
        <w:spacing w:after="120" w:line="276" w:lineRule="auto"/>
        <w:jc w:val="both"/>
      </w:pPr>
    </w:p>
    <w:p w14:paraId="65E97D0F" w14:textId="73C3A7DC" w:rsidR="005E2721" w:rsidRPr="00AE1512" w:rsidRDefault="005E2721" w:rsidP="005F6852">
      <w:pPr>
        <w:pStyle w:val="Heading2"/>
      </w:pPr>
    </w:p>
    <w:sectPr w:rsidR="005E2721" w:rsidRPr="00AE1512" w:rsidSect="006124A5">
      <w:headerReference w:type="first" r:id="rId11"/>
      <w:footerReference w:type="first" r:id="rId12"/>
      <w:endnotePr>
        <w:numFmt w:val="decimal"/>
      </w:endnotePr>
      <w:pgSz w:w="11906" w:h="16838"/>
      <w:pgMar w:top="1440" w:right="1440" w:bottom="1440" w:left="144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FE3A" w14:textId="77777777" w:rsidR="006124A5" w:rsidRDefault="006124A5" w:rsidP="00B665AD">
      <w:pPr>
        <w:spacing w:after="0" w:line="240" w:lineRule="auto"/>
      </w:pPr>
      <w:r>
        <w:separator/>
      </w:r>
    </w:p>
  </w:endnote>
  <w:endnote w:type="continuationSeparator" w:id="0">
    <w:p w14:paraId="6AF7E8B6" w14:textId="77777777" w:rsidR="006124A5" w:rsidRDefault="006124A5" w:rsidP="00B6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00000000" w:usb1="00000000" w:usb2="00000000" w:usb3="00000000" w:csb0="000001F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C121" w14:textId="1DF2EFB4" w:rsidR="00535877" w:rsidRPr="00D85247" w:rsidRDefault="00535877" w:rsidP="00535877">
    <w:pPr>
      <w:pStyle w:val="Pa0"/>
      <w:spacing w:line="240" w:lineRule="auto"/>
      <w:rPr>
        <w:rFonts w:asciiTheme="minorHAnsi" w:hAnsiTheme="minorHAnsi" w:cstheme="minorHAnsi"/>
        <w:color w:val="AEAAAA" w:themeColor="background2" w:themeShade="BF"/>
        <w:sz w:val="20"/>
        <w:szCs w:val="20"/>
      </w:rPr>
    </w:pPr>
    <w:r w:rsidRPr="00D85247">
      <w:rPr>
        <w:rStyle w:val="A1"/>
        <w:rFonts w:asciiTheme="minorHAnsi" w:hAnsiTheme="minorHAnsi" w:cstheme="minorHAnsi"/>
        <w:color w:val="AEAAAA" w:themeColor="background2" w:themeShade="BF"/>
      </w:rPr>
      <w:t>The Centre for Sustainable Healthcare</w:t>
    </w:r>
  </w:p>
  <w:p w14:paraId="2EFBE695" w14:textId="77777777" w:rsidR="00535877" w:rsidRPr="00D85247" w:rsidRDefault="00535877" w:rsidP="00535877">
    <w:pPr>
      <w:pStyle w:val="Pa1"/>
      <w:spacing w:line="240" w:lineRule="auto"/>
      <w:rPr>
        <w:rFonts w:asciiTheme="minorHAnsi" w:hAnsiTheme="minorHAnsi" w:cstheme="minorHAnsi"/>
        <w:color w:val="AEAAAA" w:themeColor="background2" w:themeShade="BF"/>
        <w:sz w:val="18"/>
        <w:szCs w:val="18"/>
        <w:lang w:val="fr-FR"/>
      </w:rPr>
    </w:pPr>
    <w:proofErr w:type="gramStart"/>
    <w:r w:rsidRPr="00D85247">
      <w:rPr>
        <w:rStyle w:val="A1"/>
        <w:rFonts w:asciiTheme="minorHAnsi" w:hAnsiTheme="minorHAnsi" w:cstheme="minorHAnsi"/>
        <w:color w:val="AEAAAA" w:themeColor="background2" w:themeShade="BF"/>
        <w:sz w:val="18"/>
        <w:szCs w:val="18"/>
        <w:lang w:val="fr-FR"/>
      </w:rPr>
      <w:t>t:</w:t>
    </w:r>
    <w:proofErr w:type="gramEnd"/>
    <w:r w:rsidRPr="00D85247">
      <w:rPr>
        <w:rStyle w:val="A1"/>
        <w:rFonts w:asciiTheme="minorHAnsi" w:hAnsiTheme="minorHAnsi" w:cstheme="minorHAnsi"/>
        <w:color w:val="AEAAAA" w:themeColor="background2" w:themeShade="BF"/>
        <w:sz w:val="18"/>
        <w:szCs w:val="18"/>
        <w:lang w:val="fr-FR"/>
      </w:rPr>
      <w:t xml:space="preserve"> +44 1865 515</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811 </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email: </w:t>
    </w:r>
    <w:hyperlink r:id="rId1" w:history="1">
      <w:r w:rsidRPr="00D85247">
        <w:rPr>
          <w:rStyle w:val="Hyperlink"/>
          <w:rFonts w:asciiTheme="minorHAnsi" w:hAnsiTheme="minorHAnsi" w:cstheme="minorHAnsi"/>
          <w:color w:val="AEAAAA" w:themeColor="background2" w:themeShade="BF"/>
          <w:sz w:val="18"/>
          <w:szCs w:val="18"/>
          <w:lang w:val="fr-FR"/>
        </w:rPr>
        <w:t>info@sustainablehealthcare.org.uk</w:t>
      </w:r>
    </w:hyperlink>
    <w:r w:rsidRPr="00D85247">
      <w:rPr>
        <w:rStyle w:val="A1"/>
        <w:rFonts w:asciiTheme="minorHAnsi" w:hAnsiTheme="minorHAnsi" w:cstheme="minorHAnsi"/>
        <w:color w:val="AEAAAA" w:themeColor="background2" w:themeShade="BF"/>
        <w:sz w:val="18"/>
        <w:szCs w:val="18"/>
        <w:lang w:val="fr-FR"/>
      </w:rPr>
      <w:t xml:space="preserve">  </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www.sustainablehealthcare.org.uk </w:t>
    </w:r>
  </w:p>
  <w:p w14:paraId="10FFD03E" w14:textId="0BE27FB8" w:rsidR="00535877" w:rsidRPr="00535877" w:rsidRDefault="00535877" w:rsidP="00535877">
    <w:pPr>
      <w:pStyle w:val="Default"/>
      <w:rPr>
        <w:rFonts w:asciiTheme="minorHAnsi" w:hAnsiTheme="minorHAnsi" w:cstheme="minorHAnsi"/>
        <w:color w:val="A6A6A6"/>
        <w:sz w:val="16"/>
        <w:szCs w:val="16"/>
      </w:rPr>
    </w:pPr>
    <w:r w:rsidRPr="00E53947">
      <w:rPr>
        <w:rStyle w:val="A2"/>
        <w:rFonts w:asciiTheme="minorHAnsi" w:hAnsiTheme="minorHAnsi" w:cstheme="minorHAnsi"/>
        <w:color w:val="A6A6A6"/>
      </w:rPr>
      <w:t xml:space="preserve">The Centre for Sustainable Healthcare is registered as a company limited by guarantee in England &amp; Wales No. 7450026 and as a charity No 1143189. VAT Registration Number 108 1953 21. Registered address 8 King Edward Street, Oxford OX1 4HL. </w:t>
    </w:r>
    <w:r w:rsidRPr="00E53947">
      <w:rPr>
        <w:rFonts w:asciiTheme="minorHAnsi" w:hAnsiTheme="minorHAnsi" w:cstheme="minorHAnsi"/>
        <w:color w:val="A6A6A6"/>
        <w:sz w:val="16"/>
        <w:szCs w:val="16"/>
      </w:rPr>
      <w:t>Postal address: Suite 310, 266 Banbury Road, Summertown, Oxford, OX2 7DL</w:t>
    </w:r>
  </w:p>
  <w:p w14:paraId="56C2FA0E" w14:textId="77777777" w:rsidR="00535877" w:rsidRDefault="0053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8B2F" w14:textId="77777777" w:rsidR="006124A5" w:rsidRDefault="006124A5" w:rsidP="00B665AD">
      <w:pPr>
        <w:spacing w:after="0" w:line="240" w:lineRule="auto"/>
      </w:pPr>
      <w:r>
        <w:separator/>
      </w:r>
    </w:p>
  </w:footnote>
  <w:footnote w:type="continuationSeparator" w:id="0">
    <w:p w14:paraId="429A2370" w14:textId="77777777" w:rsidR="006124A5" w:rsidRDefault="006124A5" w:rsidP="00B6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D259" w14:textId="0443629A" w:rsidR="008D5175" w:rsidRDefault="008D5175">
    <w:pPr>
      <w:pStyle w:val="Header"/>
      <w:rPr>
        <w:noProof/>
      </w:rPr>
    </w:pPr>
    <w:r>
      <w:rPr>
        <w:noProof/>
      </w:rPr>
      <w:drawing>
        <wp:anchor distT="0" distB="0" distL="114300" distR="114300" simplePos="0" relativeHeight="251659264" behindDoc="1" locked="0" layoutInCell="1" allowOverlap="1" wp14:anchorId="4490ECE8" wp14:editId="777C2077">
          <wp:simplePos x="0" y="0"/>
          <wp:positionH relativeFrom="column">
            <wp:posOffset>4221480</wp:posOffset>
          </wp:positionH>
          <wp:positionV relativeFrom="paragraph">
            <wp:posOffset>-129540</wp:posOffset>
          </wp:positionV>
          <wp:extent cx="2118995" cy="939957"/>
          <wp:effectExtent l="0" t="0" r="0" b="0"/>
          <wp:wrapNone/>
          <wp:docPr id="839501440" name="Picture 83950144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5103" cy="942666"/>
                  </a:xfrm>
                  <a:prstGeom prst="rect">
                    <a:avLst/>
                  </a:prstGeom>
                </pic:spPr>
              </pic:pic>
            </a:graphicData>
          </a:graphic>
          <wp14:sizeRelH relativeFrom="margin">
            <wp14:pctWidth>0</wp14:pctWidth>
          </wp14:sizeRelH>
          <wp14:sizeRelV relativeFrom="margin">
            <wp14:pctHeight>0</wp14:pctHeight>
          </wp14:sizeRelV>
        </wp:anchor>
      </w:drawing>
    </w:r>
  </w:p>
  <w:p w14:paraId="5E214770" w14:textId="30BE0144" w:rsidR="008D5175" w:rsidRDefault="008D5175">
    <w:pPr>
      <w:pStyle w:val="Header"/>
      <w:rPr>
        <w:noProof/>
      </w:rPr>
    </w:pPr>
  </w:p>
  <w:p w14:paraId="7BA827BA" w14:textId="42A07199" w:rsidR="008D5175" w:rsidRDefault="008D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512"/>
    <w:multiLevelType w:val="hybridMultilevel"/>
    <w:tmpl w:val="81AA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4548B"/>
    <w:multiLevelType w:val="hybridMultilevel"/>
    <w:tmpl w:val="6A26C334"/>
    <w:lvl w:ilvl="0" w:tplc="892260C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02A"/>
    <w:multiLevelType w:val="hybridMultilevel"/>
    <w:tmpl w:val="9F70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93DBE"/>
    <w:multiLevelType w:val="hybridMultilevel"/>
    <w:tmpl w:val="16E263EC"/>
    <w:lvl w:ilvl="0" w:tplc="86A4AF72">
      <w:start w:val="20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A4149"/>
    <w:multiLevelType w:val="hybridMultilevel"/>
    <w:tmpl w:val="191807D0"/>
    <w:lvl w:ilvl="0" w:tplc="673000AC">
      <w:start w:val="20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421621">
    <w:abstractNumId w:val="4"/>
  </w:num>
  <w:num w:numId="2" w16cid:durableId="546183084">
    <w:abstractNumId w:val="3"/>
  </w:num>
  <w:num w:numId="3" w16cid:durableId="81873602">
    <w:abstractNumId w:val="1"/>
  </w:num>
  <w:num w:numId="4" w16cid:durableId="1730880849">
    <w:abstractNumId w:val="0"/>
  </w:num>
  <w:num w:numId="5" w16cid:durableId="185002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02"/>
    <w:rsid w:val="0000076C"/>
    <w:rsid w:val="0000250B"/>
    <w:rsid w:val="00004872"/>
    <w:rsid w:val="00011D4E"/>
    <w:rsid w:val="00016EDA"/>
    <w:rsid w:val="000303E9"/>
    <w:rsid w:val="000307AD"/>
    <w:rsid w:val="00036C05"/>
    <w:rsid w:val="0004026F"/>
    <w:rsid w:val="00040D6E"/>
    <w:rsid w:val="00051A29"/>
    <w:rsid w:val="0005259D"/>
    <w:rsid w:val="00054512"/>
    <w:rsid w:val="00061096"/>
    <w:rsid w:val="00063777"/>
    <w:rsid w:val="000673BC"/>
    <w:rsid w:val="00067D6A"/>
    <w:rsid w:val="0007659E"/>
    <w:rsid w:val="0008177E"/>
    <w:rsid w:val="0009619D"/>
    <w:rsid w:val="000A19C8"/>
    <w:rsid w:val="000A5654"/>
    <w:rsid w:val="000B162F"/>
    <w:rsid w:val="000B6D50"/>
    <w:rsid w:val="000C00D6"/>
    <w:rsid w:val="000C25D2"/>
    <w:rsid w:val="000C6652"/>
    <w:rsid w:val="000D2C0D"/>
    <w:rsid w:val="000D6745"/>
    <w:rsid w:val="000E37DF"/>
    <w:rsid w:val="000E3AD5"/>
    <w:rsid w:val="000E3F15"/>
    <w:rsid w:val="00101B11"/>
    <w:rsid w:val="001152A6"/>
    <w:rsid w:val="00117C1A"/>
    <w:rsid w:val="00130B00"/>
    <w:rsid w:val="00130FC8"/>
    <w:rsid w:val="001369CA"/>
    <w:rsid w:val="00140AAD"/>
    <w:rsid w:val="0014103B"/>
    <w:rsid w:val="00144B79"/>
    <w:rsid w:val="001473B8"/>
    <w:rsid w:val="00154418"/>
    <w:rsid w:val="001637B2"/>
    <w:rsid w:val="001657A8"/>
    <w:rsid w:val="00167691"/>
    <w:rsid w:val="00175AA2"/>
    <w:rsid w:val="001762A0"/>
    <w:rsid w:val="0017719E"/>
    <w:rsid w:val="00184FDA"/>
    <w:rsid w:val="00186583"/>
    <w:rsid w:val="001910AF"/>
    <w:rsid w:val="001941FE"/>
    <w:rsid w:val="001A6AB0"/>
    <w:rsid w:val="001C2E89"/>
    <w:rsid w:val="001C61BD"/>
    <w:rsid w:val="001D4AD3"/>
    <w:rsid w:val="001D6543"/>
    <w:rsid w:val="001F1BCF"/>
    <w:rsid w:val="001F5A5E"/>
    <w:rsid w:val="00214B30"/>
    <w:rsid w:val="00220E41"/>
    <w:rsid w:val="00222F0A"/>
    <w:rsid w:val="00231D4A"/>
    <w:rsid w:val="0023620F"/>
    <w:rsid w:val="00237E76"/>
    <w:rsid w:val="002452A2"/>
    <w:rsid w:val="002479D4"/>
    <w:rsid w:val="00251CCA"/>
    <w:rsid w:val="00252D9B"/>
    <w:rsid w:val="00253DEF"/>
    <w:rsid w:val="002564C1"/>
    <w:rsid w:val="00257F2A"/>
    <w:rsid w:val="0026145D"/>
    <w:rsid w:val="00264824"/>
    <w:rsid w:val="00266168"/>
    <w:rsid w:val="002663A0"/>
    <w:rsid w:val="00276576"/>
    <w:rsid w:val="0028404C"/>
    <w:rsid w:val="0029387B"/>
    <w:rsid w:val="002972F5"/>
    <w:rsid w:val="002A0EA1"/>
    <w:rsid w:val="002A167F"/>
    <w:rsid w:val="002A7209"/>
    <w:rsid w:val="002B6B59"/>
    <w:rsid w:val="002C1479"/>
    <w:rsid w:val="002C6A78"/>
    <w:rsid w:val="002D062E"/>
    <w:rsid w:val="002D3A81"/>
    <w:rsid w:val="002E236E"/>
    <w:rsid w:val="002E2B72"/>
    <w:rsid w:val="002E74AE"/>
    <w:rsid w:val="002F19D2"/>
    <w:rsid w:val="002F2D2B"/>
    <w:rsid w:val="00304903"/>
    <w:rsid w:val="00307331"/>
    <w:rsid w:val="003130D6"/>
    <w:rsid w:val="00317039"/>
    <w:rsid w:val="0032292C"/>
    <w:rsid w:val="00330688"/>
    <w:rsid w:val="00344D38"/>
    <w:rsid w:val="00344E68"/>
    <w:rsid w:val="003500E0"/>
    <w:rsid w:val="00356337"/>
    <w:rsid w:val="00360916"/>
    <w:rsid w:val="003664ED"/>
    <w:rsid w:val="003707D0"/>
    <w:rsid w:val="00376467"/>
    <w:rsid w:val="0038288D"/>
    <w:rsid w:val="003A18DF"/>
    <w:rsid w:val="003A785A"/>
    <w:rsid w:val="003B1C63"/>
    <w:rsid w:val="003B41FC"/>
    <w:rsid w:val="003C13AB"/>
    <w:rsid w:val="003C13D7"/>
    <w:rsid w:val="003C16C6"/>
    <w:rsid w:val="003C2459"/>
    <w:rsid w:val="003C3008"/>
    <w:rsid w:val="003C5A29"/>
    <w:rsid w:val="003C77B8"/>
    <w:rsid w:val="003D2474"/>
    <w:rsid w:val="003D7433"/>
    <w:rsid w:val="003F6C71"/>
    <w:rsid w:val="0041500A"/>
    <w:rsid w:val="00433182"/>
    <w:rsid w:val="00435319"/>
    <w:rsid w:val="00441FE8"/>
    <w:rsid w:val="004424CC"/>
    <w:rsid w:val="00447040"/>
    <w:rsid w:val="00453428"/>
    <w:rsid w:val="00456FA8"/>
    <w:rsid w:val="004578C7"/>
    <w:rsid w:val="00471D19"/>
    <w:rsid w:val="004721E9"/>
    <w:rsid w:val="00472D35"/>
    <w:rsid w:val="00477AAC"/>
    <w:rsid w:val="00485096"/>
    <w:rsid w:val="0048784F"/>
    <w:rsid w:val="004934DC"/>
    <w:rsid w:val="004961F6"/>
    <w:rsid w:val="004A57CB"/>
    <w:rsid w:val="004B18B9"/>
    <w:rsid w:val="004B260D"/>
    <w:rsid w:val="004C287B"/>
    <w:rsid w:val="004E1E11"/>
    <w:rsid w:val="004F18EB"/>
    <w:rsid w:val="004F4055"/>
    <w:rsid w:val="004F4EE0"/>
    <w:rsid w:val="00503B01"/>
    <w:rsid w:val="005222A2"/>
    <w:rsid w:val="005236F2"/>
    <w:rsid w:val="0052413E"/>
    <w:rsid w:val="00531231"/>
    <w:rsid w:val="005328D1"/>
    <w:rsid w:val="0053459F"/>
    <w:rsid w:val="00535877"/>
    <w:rsid w:val="00543820"/>
    <w:rsid w:val="00544F8D"/>
    <w:rsid w:val="00555A0B"/>
    <w:rsid w:val="00570794"/>
    <w:rsid w:val="005839CA"/>
    <w:rsid w:val="0058726B"/>
    <w:rsid w:val="00592BC1"/>
    <w:rsid w:val="005948DE"/>
    <w:rsid w:val="005A0978"/>
    <w:rsid w:val="005B18C6"/>
    <w:rsid w:val="005B2492"/>
    <w:rsid w:val="005B2B9F"/>
    <w:rsid w:val="005B3839"/>
    <w:rsid w:val="005C4174"/>
    <w:rsid w:val="005D0234"/>
    <w:rsid w:val="005D1079"/>
    <w:rsid w:val="005D273A"/>
    <w:rsid w:val="005D59AB"/>
    <w:rsid w:val="005E2721"/>
    <w:rsid w:val="005E4352"/>
    <w:rsid w:val="005E5E4E"/>
    <w:rsid w:val="005F196B"/>
    <w:rsid w:val="005F3011"/>
    <w:rsid w:val="005F5AE1"/>
    <w:rsid w:val="005F6852"/>
    <w:rsid w:val="00602760"/>
    <w:rsid w:val="00607B62"/>
    <w:rsid w:val="00610F2E"/>
    <w:rsid w:val="006124A5"/>
    <w:rsid w:val="0061457F"/>
    <w:rsid w:val="006235E1"/>
    <w:rsid w:val="0062597A"/>
    <w:rsid w:val="00630047"/>
    <w:rsid w:val="006348B2"/>
    <w:rsid w:val="00636C6E"/>
    <w:rsid w:val="006375D4"/>
    <w:rsid w:val="006432AF"/>
    <w:rsid w:val="00643444"/>
    <w:rsid w:val="00645956"/>
    <w:rsid w:val="00650978"/>
    <w:rsid w:val="00662A04"/>
    <w:rsid w:val="00665F62"/>
    <w:rsid w:val="0067279F"/>
    <w:rsid w:val="00673D58"/>
    <w:rsid w:val="00675043"/>
    <w:rsid w:val="00675D90"/>
    <w:rsid w:val="00676B31"/>
    <w:rsid w:val="006800AC"/>
    <w:rsid w:val="006827AA"/>
    <w:rsid w:val="00685F0B"/>
    <w:rsid w:val="006910FD"/>
    <w:rsid w:val="00691A55"/>
    <w:rsid w:val="00695345"/>
    <w:rsid w:val="00696449"/>
    <w:rsid w:val="006B44FC"/>
    <w:rsid w:val="006C4F59"/>
    <w:rsid w:val="006C596D"/>
    <w:rsid w:val="006C690C"/>
    <w:rsid w:val="006C7072"/>
    <w:rsid w:val="006D24F3"/>
    <w:rsid w:val="00700BF0"/>
    <w:rsid w:val="00707A3C"/>
    <w:rsid w:val="00714A8C"/>
    <w:rsid w:val="007156BF"/>
    <w:rsid w:val="007249D0"/>
    <w:rsid w:val="0073219D"/>
    <w:rsid w:val="00764DEE"/>
    <w:rsid w:val="00765047"/>
    <w:rsid w:val="00765DA0"/>
    <w:rsid w:val="00766D24"/>
    <w:rsid w:val="00771EE2"/>
    <w:rsid w:val="007757C8"/>
    <w:rsid w:val="007821B4"/>
    <w:rsid w:val="0078378E"/>
    <w:rsid w:val="00784BE0"/>
    <w:rsid w:val="00784C38"/>
    <w:rsid w:val="00787B25"/>
    <w:rsid w:val="00790411"/>
    <w:rsid w:val="00792E22"/>
    <w:rsid w:val="007933D9"/>
    <w:rsid w:val="007A03E5"/>
    <w:rsid w:val="007A1513"/>
    <w:rsid w:val="007A2308"/>
    <w:rsid w:val="007A5112"/>
    <w:rsid w:val="007A6647"/>
    <w:rsid w:val="007A6D46"/>
    <w:rsid w:val="007A7B8D"/>
    <w:rsid w:val="007B58E6"/>
    <w:rsid w:val="007C38F7"/>
    <w:rsid w:val="007C727D"/>
    <w:rsid w:val="007C7A33"/>
    <w:rsid w:val="007D7F1C"/>
    <w:rsid w:val="007E6439"/>
    <w:rsid w:val="007E7286"/>
    <w:rsid w:val="007F261D"/>
    <w:rsid w:val="008004B2"/>
    <w:rsid w:val="00817C67"/>
    <w:rsid w:val="008369D9"/>
    <w:rsid w:val="008449BF"/>
    <w:rsid w:val="00844B1A"/>
    <w:rsid w:val="0084738A"/>
    <w:rsid w:val="00847F7D"/>
    <w:rsid w:val="00850295"/>
    <w:rsid w:val="00854CF0"/>
    <w:rsid w:val="00861A66"/>
    <w:rsid w:val="00861CEE"/>
    <w:rsid w:val="00874409"/>
    <w:rsid w:val="00876FD3"/>
    <w:rsid w:val="008801F5"/>
    <w:rsid w:val="00886851"/>
    <w:rsid w:val="00892265"/>
    <w:rsid w:val="008931FF"/>
    <w:rsid w:val="008A5475"/>
    <w:rsid w:val="008B1F9E"/>
    <w:rsid w:val="008C4062"/>
    <w:rsid w:val="008C7130"/>
    <w:rsid w:val="008D5175"/>
    <w:rsid w:val="008E4BE0"/>
    <w:rsid w:val="008F08E1"/>
    <w:rsid w:val="008F2AFE"/>
    <w:rsid w:val="008F5D94"/>
    <w:rsid w:val="00906B56"/>
    <w:rsid w:val="009077B8"/>
    <w:rsid w:val="009143A0"/>
    <w:rsid w:val="009158F5"/>
    <w:rsid w:val="0092375E"/>
    <w:rsid w:val="00931E01"/>
    <w:rsid w:val="00932643"/>
    <w:rsid w:val="00933BAE"/>
    <w:rsid w:val="009346EC"/>
    <w:rsid w:val="00941319"/>
    <w:rsid w:val="009503BB"/>
    <w:rsid w:val="00951826"/>
    <w:rsid w:val="00952062"/>
    <w:rsid w:val="0095441C"/>
    <w:rsid w:val="009554DF"/>
    <w:rsid w:val="00965388"/>
    <w:rsid w:val="0096772F"/>
    <w:rsid w:val="0097718B"/>
    <w:rsid w:val="0097720F"/>
    <w:rsid w:val="009839E4"/>
    <w:rsid w:val="00986328"/>
    <w:rsid w:val="009927F5"/>
    <w:rsid w:val="00994FC9"/>
    <w:rsid w:val="009B1675"/>
    <w:rsid w:val="009B720B"/>
    <w:rsid w:val="009C0F33"/>
    <w:rsid w:val="009C40C7"/>
    <w:rsid w:val="009C4F48"/>
    <w:rsid w:val="009C55A3"/>
    <w:rsid w:val="009C63D4"/>
    <w:rsid w:val="009C753C"/>
    <w:rsid w:val="009D1C75"/>
    <w:rsid w:val="009E7237"/>
    <w:rsid w:val="009F20A2"/>
    <w:rsid w:val="009F624C"/>
    <w:rsid w:val="00A012C8"/>
    <w:rsid w:val="00A016F1"/>
    <w:rsid w:val="00A022D6"/>
    <w:rsid w:val="00A11FCE"/>
    <w:rsid w:val="00A13A4D"/>
    <w:rsid w:val="00A158A4"/>
    <w:rsid w:val="00A20502"/>
    <w:rsid w:val="00A255D3"/>
    <w:rsid w:val="00A30A7B"/>
    <w:rsid w:val="00A358E1"/>
    <w:rsid w:val="00A6481E"/>
    <w:rsid w:val="00A65AEE"/>
    <w:rsid w:val="00A81F3A"/>
    <w:rsid w:val="00A8442F"/>
    <w:rsid w:val="00A84B61"/>
    <w:rsid w:val="00A84F08"/>
    <w:rsid w:val="00A87718"/>
    <w:rsid w:val="00A923F4"/>
    <w:rsid w:val="00AA22FD"/>
    <w:rsid w:val="00AA2B3F"/>
    <w:rsid w:val="00AA4186"/>
    <w:rsid w:val="00AA49EA"/>
    <w:rsid w:val="00AA4C6C"/>
    <w:rsid w:val="00AB10D6"/>
    <w:rsid w:val="00AB47D5"/>
    <w:rsid w:val="00AC2B30"/>
    <w:rsid w:val="00AC3A62"/>
    <w:rsid w:val="00AC41BF"/>
    <w:rsid w:val="00AD49FB"/>
    <w:rsid w:val="00AD5676"/>
    <w:rsid w:val="00AE1512"/>
    <w:rsid w:val="00AE15BE"/>
    <w:rsid w:val="00AE21BC"/>
    <w:rsid w:val="00AF3E1F"/>
    <w:rsid w:val="00AF61FB"/>
    <w:rsid w:val="00B00FC2"/>
    <w:rsid w:val="00B3332D"/>
    <w:rsid w:val="00B36397"/>
    <w:rsid w:val="00B3733A"/>
    <w:rsid w:val="00B4716C"/>
    <w:rsid w:val="00B57EAB"/>
    <w:rsid w:val="00B6311E"/>
    <w:rsid w:val="00B63748"/>
    <w:rsid w:val="00B65BAC"/>
    <w:rsid w:val="00B65D7B"/>
    <w:rsid w:val="00B665AD"/>
    <w:rsid w:val="00B745A6"/>
    <w:rsid w:val="00B80FDB"/>
    <w:rsid w:val="00B8126A"/>
    <w:rsid w:val="00B81E80"/>
    <w:rsid w:val="00B82151"/>
    <w:rsid w:val="00B85095"/>
    <w:rsid w:val="00B86581"/>
    <w:rsid w:val="00B87688"/>
    <w:rsid w:val="00B94341"/>
    <w:rsid w:val="00BA5046"/>
    <w:rsid w:val="00BA5B41"/>
    <w:rsid w:val="00BA65CE"/>
    <w:rsid w:val="00BA71D4"/>
    <w:rsid w:val="00BB3333"/>
    <w:rsid w:val="00BC16C2"/>
    <w:rsid w:val="00BC41F4"/>
    <w:rsid w:val="00BC439F"/>
    <w:rsid w:val="00BF1010"/>
    <w:rsid w:val="00BF1C51"/>
    <w:rsid w:val="00C02232"/>
    <w:rsid w:val="00C033DD"/>
    <w:rsid w:val="00C03EA2"/>
    <w:rsid w:val="00C06777"/>
    <w:rsid w:val="00C1521D"/>
    <w:rsid w:val="00C16432"/>
    <w:rsid w:val="00C17389"/>
    <w:rsid w:val="00C265F3"/>
    <w:rsid w:val="00C302A9"/>
    <w:rsid w:val="00C37BE0"/>
    <w:rsid w:val="00C40924"/>
    <w:rsid w:val="00C506DE"/>
    <w:rsid w:val="00C5241F"/>
    <w:rsid w:val="00C53502"/>
    <w:rsid w:val="00C56228"/>
    <w:rsid w:val="00C56630"/>
    <w:rsid w:val="00C64528"/>
    <w:rsid w:val="00C71C27"/>
    <w:rsid w:val="00C7234F"/>
    <w:rsid w:val="00C755B7"/>
    <w:rsid w:val="00C83CA0"/>
    <w:rsid w:val="00C85C34"/>
    <w:rsid w:val="00C863E7"/>
    <w:rsid w:val="00C91A0D"/>
    <w:rsid w:val="00C92B01"/>
    <w:rsid w:val="00CA0177"/>
    <w:rsid w:val="00CA035D"/>
    <w:rsid w:val="00CA09F5"/>
    <w:rsid w:val="00CA3527"/>
    <w:rsid w:val="00CA4AFB"/>
    <w:rsid w:val="00CA7236"/>
    <w:rsid w:val="00CB49D0"/>
    <w:rsid w:val="00CB6466"/>
    <w:rsid w:val="00CB6599"/>
    <w:rsid w:val="00CC205C"/>
    <w:rsid w:val="00CC6A14"/>
    <w:rsid w:val="00CD2888"/>
    <w:rsid w:val="00CD62CD"/>
    <w:rsid w:val="00CD74B3"/>
    <w:rsid w:val="00CD7B00"/>
    <w:rsid w:val="00CE2652"/>
    <w:rsid w:val="00CE54DC"/>
    <w:rsid w:val="00CE567D"/>
    <w:rsid w:val="00CE7FD3"/>
    <w:rsid w:val="00CF495F"/>
    <w:rsid w:val="00D0110B"/>
    <w:rsid w:val="00D029AF"/>
    <w:rsid w:val="00D1086D"/>
    <w:rsid w:val="00D13F32"/>
    <w:rsid w:val="00D14CB1"/>
    <w:rsid w:val="00D16E60"/>
    <w:rsid w:val="00D21B74"/>
    <w:rsid w:val="00D27D20"/>
    <w:rsid w:val="00D34242"/>
    <w:rsid w:val="00D37DC4"/>
    <w:rsid w:val="00D553A1"/>
    <w:rsid w:val="00D56460"/>
    <w:rsid w:val="00D7257C"/>
    <w:rsid w:val="00D9275F"/>
    <w:rsid w:val="00D95548"/>
    <w:rsid w:val="00DA48A9"/>
    <w:rsid w:val="00DC7C98"/>
    <w:rsid w:val="00DD7C22"/>
    <w:rsid w:val="00DE3D7E"/>
    <w:rsid w:val="00DE4F9A"/>
    <w:rsid w:val="00E05F90"/>
    <w:rsid w:val="00E16C7B"/>
    <w:rsid w:val="00E22A05"/>
    <w:rsid w:val="00E25C64"/>
    <w:rsid w:val="00E4002B"/>
    <w:rsid w:val="00E44B82"/>
    <w:rsid w:val="00E51DF6"/>
    <w:rsid w:val="00E53D44"/>
    <w:rsid w:val="00E61B3B"/>
    <w:rsid w:val="00E64C28"/>
    <w:rsid w:val="00E6524E"/>
    <w:rsid w:val="00E71AD6"/>
    <w:rsid w:val="00E71B9A"/>
    <w:rsid w:val="00E736F5"/>
    <w:rsid w:val="00E827E0"/>
    <w:rsid w:val="00E82EFC"/>
    <w:rsid w:val="00E90955"/>
    <w:rsid w:val="00E97C37"/>
    <w:rsid w:val="00EA37CB"/>
    <w:rsid w:val="00EA61E1"/>
    <w:rsid w:val="00EA625B"/>
    <w:rsid w:val="00EB00D8"/>
    <w:rsid w:val="00EB4A74"/>
    <w:rsid w:val="00EB5243"/>
    <w:rsid w:val="00EB5C28"/>
    <w:rsid w:val="00EC1D4C"/>
    <w:rsid w:val="00EC4DDF"/>
    <w:rsid w:val="00EC6EB2"/>
    <w:rsid w:val="00EC7A4D"/>
    <w:rsid w:val="00ED0569"/>
    <w:rsid w:val="00ED19CC"/>
    <w:rsid w:val="00ED4033"/>
    <w:rsid w:val="00ED4616"/>
    <w:rsid w:val="00ED750F"/>
    <w:rsid w:val="00EF63F0"/>
    <w:rsid w:val="00F133FB"/>
    <w:rsid w:val="00F13518"/>
    <w:rsid w:val="00F13D47"/>
    <w:rsid w:val="00F2238A"/>
    <w:rsid w:val="00F231C7"/>
    <w:rsid w:val="00F44C91"/>
    <w:rsid w:val="00F51709"/>
    <w:rsid w:val="00F51C0F"/>
    <w:rsid w:val="00F52383"/>
    <w:rsid w:val="00F525DB"/>
    <w:rsid w:val="00F569B6"/>
    <w:rsid w:val="00F64A97"/>
    <w:rsid w:val="00F65A60"/>
    <w:rsid w:val="00F66FAA"/>
    <w:rsid w:val="00F713BB"/>
    <w:rsid w:val="00F73BF9"/>
    <w:rsid w:val="00F80B71"/>
    <w:rsid w:val="00F8179A"/>
    <w:rsid w:val="00F91229"/>
    <w:rsid w:val="00F93FD5"/>
    <w:rsid w:val="00F9438F"/>
    <w:rsid w:val="00F9465F"/>
    <w:rsid w:val="00F95F27"/>
    <w:rsid w:val="00F968A5"/>
    <w:rsid w:val="00FA3669"/>
    <w:rsid w:val="00FA5C9B"/>
    <w:rsid w:val="00FB0BA6"/>
    <w:rsid w:val="00FB1D6D"/>
    <w:rsid w:val="00FB357C"/>
    <w:rsid w:val="00FC1033"/>
    <w:rsid w:val="00FC557E"/>
    <w:rsid w:val="00FE07B7"/>
    <w:rsid w:val="00FE3956"/>
    <w:rsid w:val="00FE4E89"/>
    <w:rsid w:val="00FE760F"/>
    <w:rsid w:val="00FF16C1"/>
    <w:rsid w:val="00FF3872"/>
    <w:rsid w:val="00FF48DE"/>
    <w:rsid w:val="130C1A88"/>
    <w:rsid w:val="23B910E9"/>
    <w:rsid w:val="3766C4C6"/>
    <w:rsid w:val="41E1E8AE"/>
    <w:rsid w:val="4A9CF587"/>
    <w:rsid w:val="54A7211D"/>
    <w:rsid w:val="63C91D4D"/>
    <w:rsid w:val="72A9EBCC"/>
    <w:rsid w:val="76F40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0E2D"/>
  <w15:chartTrackingRefBased/>
  <w15:docId w15:val="{B13F85B0-E6AB-4AB7-A689-A6ACA191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20B"/>
    <w:pPr>
      <w:keepNext/>
      <w:keepLines/>
      <w:spacing w:before="240" w:after="0"/>
      <w:outlineLvl w:val="0"/>
    </w:pPr>
    <w:rPr>
      <w:rFonts w:asciiTheme="majorHAnsi" w:eastAsiaTheme="majorEastAsia" w:hAnsiTheme="majorHAnsi" w:cstheme="majorBidi"/>
      <w:color w:val="2F5496" w:themeColor="accent1" w:themeShade="BF"/>
      <w:sz w:val="48"/>
      <w:szCs w:val="32"/>
    </w:rPr>
  </w:style>
  <w:style w:type="paragraph" w:styleId="Heading2">
    <w:name w:val="heading 2"/>
    <w:basedOn w:val="Normal"/>
    <w:next w:val="Normal"/>
    <w:link w:val="Heading2Char"/>
    <w:uiPriority w:val="9"/>
    <w:unhideWhenUsed/>
    <w:qFormat/>
    <w:rsid w:val="00F93FD5"/>
    <w:pPr>
      <w:keepNext/>
      <w:keepLines/>
      <w:spacing w:before="200" w:after="12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9B720B"/>
    <w:pPr>
      <w:keepNext/>
      <w:keepLines/>
      <w:spacing w:before="40" w:after="120"/>
      <w:outlineLvl w:val="2"/>
    </w:pPr>
    <w:rPr>
      <w:rFonts w:asciiTheme="majorHAnsi" w:eastAsiaTheme="majorEastAsia" w:hAnsiTheme="majorHAnsi"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B36397"/>
    <w:pPr>
      <w:keepNext/>
      <w:keepLines/>
      <w:spacing w:before="80" w:after="12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6A7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F4055"/>
    <w:rPr>
      <w:sz w:val="16"/>
      <w:szCs w:val="16"/>
    </w:rPr>
  </w:style>
  <w:style w:type="paragraph" w:styleId="CommentText">
    <w:name w:val="annotation text"/>
    <w:basedOn w:val="Normal"/>
    <w:link w:val="CommentTextChar"/>
    <w:uiPriority w:val="99"/>
    <w:unhideWhenUsed/>
    <w:rsid w:val="004F4055"/>
    <w:pPr>
      <w:spacing w:line="240" w:lineRule="auto"/>
    </w:pPr>
    <w:rPr>
      <w:sz w:val="20"/>
      <w:szCs w:val="20"/>
    </w:rPr>
  </w:style>
  <w:style w:type="character" w:customStyle="1" w:styleId="CommentTextChar">
    <w:name w:val="Comment Text Char"/>
    <w:basedOn w:val="DefaultParagraphFont"/>
    <w:link w:val="CommentText"/>
    <w:uiPriority w:val="99"/>
    <w:rsid w:val="004F4055"/>
    <w:rPr>
      <w:sz w:val="20"/>
      <w:szCs w:val="20"/>
    </w:rPr>
  </w:style>
  <w:style w:type="paragraph" w:styleId="CommentSubject">
    <w:name w:val="annotation subject"/>
    <w:basedOn w:val="CommentText"/>
    <w:next w:val="CommentText"/>
    <w:link w:val="CommentSubjectChar"/>
    <w:uiPriority w:val="99"/>
    <w:semiHidden/>
    <w:unhideWhenUsed/>
    <w:rsid w:val="004F4055"/>
    <w:rPr>
      <w:b/>
      <w:bCs/>
    </w:rPr>
  </w:style>
  <w:style w:type="character" w:customStyle="1" w:styleId="CommentSubjectChar">
    <w:name w:val="Comment Subject Char"/>
    <w:basedOn w:val="CommentTextChar"/>
    <w:link w:val="CommentSubject"/>
    <w:uiPriority w:val="99"/>
    <w:semiHidden/>
    <w:rsid w:val="004F4055"/>
    <w:rPr>
      <w:b/>
      <w:bCs/>
      <w:sz w:val="20"/>
      <w:szCs w:val="20"/>
    </w:rPr>
  </w:style>
  <w:style w:type="paragraph" w:styleId="Revision">
    <w:name w:val="Revision"/>
    <w:hidden/>
    <w:uiPriority w:val="99"/>
    <w:semiHidden/>
    <w:rsid w:val="00CB6599"/>
    <w:pPr>
      <w:spacing w:after="0" w:line="240" w:lineRule="auto"/>
    </w:pPr>
  </w:style>
  <w:style w:type="paragraph" w:styleId="Header">
    <w:name w:val="header"/>
    <w:basedOn w:val="Normal"/>
    <w:link w:val="HeaderChar"/>
    <w:uiPriority w:val="99"/>
    <w:unhideWhenUsed/>
    <w:rsid w:val="00B66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5AD"/>
  </w:style>
  <w:style w:type="paragraph" w:styleId="Footer">
    <w:name w:val="footer"/>
    <w:basedOn w:val="Normal"/>
    <w:link w:val="FooterChar"/>
    <w:uiPriority w:val="99"/>
    <w:unhideWhenUsed/>
    <w:rsid w:val="00B66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5AD"/>
  </w:style>
  <w:style w:type="paragraph" w:styleId="BalloonText">
    <w:name w:val="Balloon Text"/>
    <w:basedOn w:val="Normal"/>
    <w:link w:val="BalloonTextChar"/>
    <w:uiPriority w:val="99"/>
    <w:semiHidden/>
    <w:unhideWhenUsed/>
    <w:rsid w:val="0011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2A6"/>
    <w:rPr>
      <w:rFonts w:ascii="Segoe UI" w:hAnsi="Segoe UI" w:cs="Segoe UI"/>
      <w:sz w:val="18"/>
      <w:szCs w:val="18"/>
    </w:rPr>
  </w:style>
  <w:style w:type="paragraph" w:customStyle="1" w:styleId="pf0">
    <w:name w:val="pf0"/>
    <w:basedOn w:val="Normal"/>
    <w:rsid w:val="00140A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40AAD"/>
    <w:rPr>
      <w:rFonts w:ascii="Segoe UI" w:hAnsi="Segoe UI" w:cs="Segoe UI" w:hint="default"/>
      <w:sz w:val="18"/>
      <w:szCs w:val="18"/>
    </w:rPr>
  </w:style>
  <w:style w:type="character" w:customStyle="1" w:styleId="Heading1Char">
    <w:name w:val="Heading 1 Char"/>
    <w:basedOn w:val="DefaultParagraphFont"/>
    <w:link w:val="Heading1"/>
    <w:uiPriority w:val="9"/>
    <w:rsid w:val="009B720B"/>
    <w:rPr>
      <w:rFonts w:asciiTheme="majorHAnsi" w:eastAsiaTheme="majorEastAsia" w:hAnsiTheme="majorHAnsi" w:cstheme="majorBidi"/>
      <w:color w:val="2F5496" w:themeColor="accent1" w:themeShade="BF"/>
      <w:sz w:val="48"/>
      <w:szCs w:val="32"/>
    </w:rPr>
  </w:style>
  <w:style w:type="character" w:customStyle="1" w:styleId="Heading2Char">
    <w:name w:val="Heading 2 Char"/>
    <w:basedOn w:val="DefaultParagraphFont"/>
    <w:link w:val="Heading2"/>
    <w:uiPriority w:val="9"/>
    <w:rsid w:val="00F93FD5"/>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9B720B"/>
    <w:rPr>
      <w:rFonts w:asciiTheme="majorHAnsi" w:eastAsiaTheme="majorEastAsia" w:hAnsiTheme="majorHAnsi" w:cstheme="majorBidi"/>
      <w:color w:val="1F3763" w:themeColor="accent1" w:themeShade="7F"/>
      <w:sz w:val="32"/>
      <w:szCs w:val="24"/>
    </w:rPr>
  </w:style>
  <w:style w:type="character" w:customStyle="1" w:styleId="Heading4Char">
    <w:name w:val="Heading 4 Char"/>
    <w:basedOn w:val="DefaultParagraphFont"/>
    <w:link w:val="Heading4"/>
    <w:uiPriority w:val="9"/>
    <w:rsid w:val="00B36397"/>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6C7072"/>
    <w:pPr>
      <w:ind w:left="720"/>
      <w:contextualSpacing/>
    </w:pPr>
  </w:style>
  <w:style w:type="paragraph" w:styleId="EndnoteText">
    <w:name w:val="endnote text"/>
    <w:basedOn w:val="Normal"/>
    <w:link w:val="EndnoteTextChar"/>
    <w:uiPriority w:val="99"/>
    <w:semiHidden/>
    <w:unhideWhenUsed/>
    <w:rsid w:val="0048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784F"/>
    <w:rPr>
      <w:sz w:val="20"/>
      <w:szCs w:val="20"/>
    </w:rPr>
  </w:style>
  <w:style w:type="character" w:styleId="EndnoteReference">
    <w:name w:val="endnote reference"/>
    <w:basedOn w:val="DefaultParagraphFont"/>
    <w:uiPriority w:val="99"/>
    <w:semiHidden/>
    <w:unhideWhenUsed/>
    <w:rsid w:val="0048784F"/>
    <w:rPr>
      <w:vertAlign w:val="superscript"/>
    </w:rPr>
  </w:style>
  <w:style w:type="character" w:styleId="Hyperlink">
    <w:name w:val="Hyperlink"/>
    <w:basedOn w:val="DefaultParagraphFont"/>
    <w:unhideWhenUsed/>
    <w:rsid w:val="0048784F"/>
    <w:rPr>
      <w:color w:val="0000FF"/>
      <w:u w:val="single"/>
    </w:rPr>
  </w:style>
  <w:style w:type="paragraph" w:styleId="FootnoteText">
    <w:name w:val="footnote text"/>
    <w:basedOn w:val="Normal"/>
    <w:link w:val="FootnoteTextChar"/>
    <w:uiPriority w:val="99"/>
    <w:semiHidden/>
    <w:unhideWhenUsed/>
    <w:rsid w:val="00266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3A0"/>
    <w:rPr>
      <w:sz w:val="20"/>
      <w:szCs w:val="20"/>
    </w:rPr>
  </w:style>
  <w:style w:type="character" w:styleId="FootnoteReference">
    <w:name w:val="footnote reference"/>
    <w:basedOn w:val="DefaultParagraphFont"/>
    <w:uiPriority w:val="99"/>
    <w:semiHidden/>
    <w:unhideWhenUsed/>
    <w:rsid w:val="002663A0"/>
    <w:rPr>
      <w:vertAlign w:val="superscript"/>
    </w:rPr>
  </w:style>
  <w:style w:type="paragraph" w:styleId="NormalWeb">
    <w:name w:val="Normal (Web)"/>
    <w:basedOn w:val="Normal"/>
    <w:uiPriority w:val="99"/>
    <w:semiHidden/>
    <w:unhideWhenUsed/>
    <w:rsid w:val="003170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0">
    <w:name w:val="Pa0"/>
    <w:basedOn w:val="Normal"/>
    <w:next w:val="Normal"/>
    <w:rsid w:val="00535877"/>
    <w:pPr>
      <w:autoSpaceDE w:val="0"/>
      <w:autoSpaceDN w:val="0"/>
      <w:adjustRightInd w:val="0"/>
      <w:spacing w:after="0" w:line="241" w:lineRule="atLeast"/>
    </w:pPr>
    <w:rPr>
      <w:rFonts w:ascii="Trajan Pro" w:eastAsia="Calibri" w:hAnsi="Trajan Pro" w:cs="Times New Roman"/>
      <w:sz w:val="24"/>
      <w:szCs w:val="24"/>
    </w:rPr>
  </w:style>
  <w:style w:type="character" w:customStyle="1" w:styleId="A1">
    <w:name w:val="A1"/>
    <w:uiPriority w:val="99"/>
    <w:rsid w:val="00535877"/>
    <w:rPr>
      <w:rFonts w:ascii="GillSans Light" w:hAnsi="GillSans Light" w:cs="GillSans Light"/>
      <w:color w:val="000000"/>
      <w:sz w:val="20"/>
      <w:szCs w:val="20"/>
    </w:rPr>
  </w:style>
  <w:style w:type="paragraph" w:customStyle="1" w:styleId="Pa1">
    <w:name w:val="Pa1"/>
    <w:basedOn w:val="Normal"/>
    <w:next w:val="Normal"/>
    <w:rsid w:val="00535877"/>
    <w:pPr>
      <w:autoSpaceDE w:val="0"/>
      <w:autoSpaceDN w:val="0"/>
      <w:adjustRightInd w:val="0"/>
      <w:spacing w:after="0" w:line="241" w:lineRule="atLeast"/>
    </w:pPr>
    <w:rPr>
      <w:rFonts w:ascii="Trajan Pro" w:eastAsia="Calibri" w:hAnsi="Trajan Pro" w:cs="Times New Roman"/>
      <w:sz w:val="24"/>
      <w:szCs w:val="24"/>
    </w:rPr>
  </w:style>
  <w:style w:type="paragraph" w:customStyle="1" w:styleId="Default">
    <w:name w:val="Default"/>
    <w:rsid w:val="00535877"/>
    <w:pPr>
      <w:autoSpaceDE w:val="0"/>
      <w:autoSpaceDN w:val="0"/>
      <w:adjustRightInd w:val="0"/>
      <w:spacing w:after="0" w:line="240" w:lineRule="auto"/>
    </w:pPr>
    <w:rPr>
      <w:rFonts w:ascii="Trajan Pro" w:eastAsia="Calibri" w:hAnsi="Trajan Pro" w:cs="Trajan Pro"/>
      <w:color w:val="000000"/>
      <w:sz w:val="24"/>
      <w:szCs w:val="24"/>
    </w:rPr>
  </w:style>
  <w:style w:type="character" w:customStyle="1" w:styleId="A2">
    <w:name w:val="A2"/>
    <w:uiPriority w:val="99"/>
    <w:rsid w:val="00535877"/>
    <w:rPr>
      <w:rFonts w:ascii="GillSans Light" w:hAnsi="GillSans Light" w:cs="GillSans Light"/>
      <w:color w:val="000000"/>
      <w:sz w:val="16"/>
      <w:szCs w:val="16"/>
    </w:rPr>
  </w:style>
  <w:style w:type="character" w:styleId="UnresolvedMention">
    <w:name w:val="Unresolved Mention"/>
    <w:basedOn w:val="DefaultParagraphFont"/>
    <w:uiPriority w:val="99"/>
    <w:semiHidden/>
    <w:unhideWhenUsed/>
    <w:rsid w:val="00E6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8698">
      <w:bodyDiv w:val="1"/>
      <w:marLeft w:val="0"/>
      <w:marRight w:val="0"/>
      <w:marTop w:val="0"/>
      <w:marBottom w:val="0"/>
      <w:divBdr>
        <w:top w:val="none" w:sz="0" w:space="0" w:color="auto"/>
        <w:left w:val="none" w:sz="0" w:space="0" w:color="auto"/>
        <w:bottom w:val="none" w:sz="0" w:space="0" w:color="auto"/>
        <w:right w:val="none" w:sz="0" w:space="0" w:color="auto"/>
      </w:divBdr>
    </w:div>
    <w:div w:id="453985922">
      <w:bodyDiv w:val="1"/>
      <w:marLeft w:val="0"/>
      <w:marRight w:val="0"/>
      <w:marTop w:val="0"/>
      <w:marBottom w:val="0"/>
      <w:divBdr>
        <w:top w:val="none" w:sz="0" w:space="0" w:color="auto"/>
        <w:left w:val="none" w:sz="0" w:space="0" w:color="auto"/>
        <w:bottom w:val="none" w:sz="0" w:space="0" w:color="auto"/>
        <w:right w:val="none" w:sz="0" w:space="0" w:color="auto"/>
      </w:divBdr>
    </w:div>
    <w:div w:id="478772111">
      <w:bodyDiv w:val="1"/>
      <w:marLeft w:val="0"/>
      <w:marRight w:val="0"/>
      <w:marTop w:val="0"/>
      <w:marBottom w:val="0"/>
      <w:divBdr>
        <w:top w:val="none" w:sz="0" w:space="0" w:color="auto"/>
        <w:left w:val="none" w:sz="0" w:space="0" w:color="auto"/>
        <w:bottom w:val="none" w:sz="0" w:space="0" w:color="auto"/>
        <w:right w:val="none" w:sz="0" w:space="0" w:color="auto"/>
      </w:divBdr>
    </w:div>
    <w:div w:id="499276497">
      <w:bodyDiv w:val="1"/>
      <w:marLeft w:val="0"/>
      <w:marRight w:val="0"/>
      <w:marTop w:val="0"/>
      <w:marBottom w:val="0"/>
      <w:divBdr>
        <w:top w:val="none" w:sz="0" w:space="0" w:color="auto"/>
        <w:left w:val="none" w:sz="0" w:space="0" w:color="auto"/>
        <w:bottom w:val="none" w:sz="0" w:space="0" w:color="auto"/>
        <w:right w:val="none" w:sz="0" w:space="0" w:color="auto"/>
      </w:divBdr>
    </w:div>
    <w:div w:id="740256380">
      <w:bodyDiv w:val="1"/>
      <w:marLeft w:val="0"/>
      <w:marRight w:val="0"/>
      <w:marTop w:val="0"/>
      <w:marBottom w:val="0"/>
      <w:divBdr>
        <w:top w:val="none" w:sz="0" w:space="0" w:color="auto"/>
        <w:left w:val="none" w:sz="0" w:space="0" w:color="auto"/>
        <w:bottom w:val="none" w:sz="0" w:space="0" w:color="auto"/>
        <w:right w:val="none" w:sz="0" w:space="0" w:color="auto"/>
      </w:divBdr>
    </w:div>
    <w:div w:id="985208258">
      <w:bodyDiv w:val="1"/>
      <w:marLeft w:val="0"/>
      <w:marRight w:val="0"/>
      <w:marTop w:val="0"/>
      <w:marBottom w:val="0"/>
      <w:divBdr>
        <w:top w:val="none" w:sz="0" w:space="0" w:color="auto"/>
        <w:left w:val="none" w:sz="0" w:space="0" w:color="auto"/>
        <w:bottom w:val="none" w:sz="0" w:space="0" w:color="auto"/>
        <w:right w:val="none" w:sz="0" w:space="0" w:color="auto"/>
      </w:divBdr>
    </w:div>
    <w:div w:id="15988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384C801B45454BBF7DDECD8858994C" ma:contentTypeVersion="7" ma:contentTypeDescription="Create a new document." ma:contentTypeScope="" ma:versionID="0adb84885862bbb28bfe97de5738e52b">
  <xsd:schema xmlns:xsd="http://www.w3.org/2001/XMLSchema" xmlns:xs="http://www.w3.org/2001/XMLSchema" xmlns:p="http://schemas.microsoft.com/office/2006/metadata/properties" xmlns:ns2="c593c077-e805-431d-bd56-6362003f5aaf" xmlns:ns3="861957b6-d93c-4c4b-b24f-cf567d0ab65d" targetNamespace="http://schemas.microsoft.com/office/2006/metadata/properties" ma:root="true" ma:fieldsID="e73ac67e95e05777ce11813fbff5c7b6" ns2:_="" ns3:_="">
    <xsd:import namespace="c593c077-e805-431d-bd56-6362003f5aaf"/>
    <xsd:import namespace="861957b6-d93c-4c4b-b24f-cf567d0ab6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c077-e805-431d-bd56-6362003f5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957b6-d93c-4c4b-b24f-cf567d0ab6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B73C1-1CDC-4B13-9A5F-C8CAB1B5F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F250F-1F07-49C3-A339-5C4E2AF94145}">
  <ds:schemaRefs>
    <ds:schemaRef ds:uri="http://schemas.openxmlformats.org/officeDocument/2006/bibliography"/>
  </ds:schemaRefs>
</ds:datastoreItem>
</file>

<file path=customXml/itemProps3.xml><?xml version="1.0" encoding="utf-8"?>
<ds:datastoreItem xmlns:ds="http://schemas.openxmlformats.org/officeDocument/2006/customXml" ds:itemID="{4E5C255C-94B8-484C-9419-5FFAE254E923}">
  <ds:schemaRefs>
    <ds:schemaRef ds:uri="http://schemas.microsoft.com/sharepoint/v3/contenttype/forms"/>
  </ds:schemaRefs>
</ds:datastoreItem>
</file>

<file path=customXml/itemProps4.xml><?xml version="1.0" encoding="utf-8"?>
<ds:datastoreItem xmlns:ds="http://schemas.openxmlformats.org/officeDocument/2006/customXml" ds:itemID="{8419E089-D972-4E89-BE92-5CD654C5C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c077-e805-431d-bd56-6362003f5aaf"/>
    <ds:schemaRef ds:uri="861957b6-d93c-4c4b-b24f-cf567d0a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Hillson</dc:creator>
  <cp:keywords/>
  <dc:description/>
  <cp:lastModifiedBy>Rosie Hillson</cp:lastModifiedBy>
  <cp:revision>3</cp:revision>
  <cp:lastPrinted>2024-02-07T16:29:00Z</cp:lastPrinted>
  <dcterms:created xsi:type="dcterms:W3CDTF">2024-02-13T11:31:00Z</dcterms:created>
  <dcterms:modified xsi:type="dcterms:W3CDTF">2024-02-13T11:31:00Z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0x010100C6384C801B45454BBF7DDECD8858994C</vt:lpwstr>
  </property>
</Properties>
</file>