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A9E9BB" w14:textId="77777777" w:rsidR="001E0402" w:rsidRPr="001D7130" w:rsidRDefault="001E0402" w:rsidP="001E0402">
      <w:pPr>
        <w:spacing w:after="0"/>
        <w:jc w:val="right"/>
        <w:rPr>
          <w:sz w:val="24"/>
          <w:szCs w:val="24"/>
        </w:rPr>
      </w:pPr>
    </w:p>
    <w:p w14:paraId="41EACD99" w14:textId="77777777" w:rsidR="001E0402" w:rsidRPr="001D7130" w:rsidRDefault="001E0402" w:rsidP="001E0402">
      <w:pPr>
        <w:spacing w:after="0"/>
        <w:jc w:val="right"/>
        <w:rPr>
          <w:sz w:val="24"/>
          <w:szCs w:val="24"/>
        </w:rPr>
      </w:pPr>
    </w:p>
    <w:p w14:paraId="1FEEB709" w14:textId="77777777" w:rsidR="001D7130" w:rsidRPr="001D7130" w:rsidRDefault="001D7130" w:rsidP="001E0402">
      <w:pPr>
        <w:spacing w:after="0"/>
        <w:jc w:val="right"/>
        <w:rPr>
          <w:sz w:val="24"/>
          <w:szCs w:val="24"/>
        </w:rPr>
      </w:pPr>
    </w:p>
    <w:p w14:paraId="23F09409" w14:textId="77777777" w:rsidR="001D7130" w:rsidRPr="001D7130" w:rsidRDefault="001D7130" w:rsidP="001E0402">
      <w:pPr>
        <w:spacing w:after="0"/>
        <w:jc w:val="right"/>
        <w:rPr>
          <w:sz w:val="24"/>
          <w:szCs w:val="24"/>
        </w:rPr>
      </w:pPr>
    </w:p>
    <w:p w14:paraId="555455A7" w14:textId="77777777" w:rsidR="001E0402" w:rsidRPr="001D7130" w:rsidRDefault="001E0402" w:rsidP="001E0402">
      <w:pPr>
        <w:spacing w:after="0"/>
        <w:jc w:val="right"/>
      </w:pPr>
    </w:p>
    <w:p w14:paraId="67DE46F0" w14:textId="77777777" w:rsidR="001E0402" w:rsidRPr="001D7130" w:rsidRDefault="001E0402" w:rsidP="001E0402">
      <w:pPr>
        <w:spacing w:after="0"/>
        <w:jc w:val="right"/>
      </w:pPr>
    </w:p>
    <w:p w14:paraId="0DECEAB3" w14:textId="77777777" w:rsidR="001D7130" w:rsidRPr="001D7130" w:rsidRDefault="001D7130" w:rsidP="001D71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40" w:line="360" w:lineRule="auto"/>
        <w:jc w:val="center"/>
        <w:rPr>
          <w:rFonts w:cs="Arial"/>
          <w:b/>
          <w:sz w:val="28"/>
        </w:rPr>
      </w:pPr>
      <w:r w:rsidRPr="001D7130">
        <w:rPr>
          <w:rFonts w:cs="Arial"/>
          <w:b/>
          <w:sz w:val="28"/>
        </w:rPr>
        <w:t>Educational outputs of the Green Nephrology Fellowship 2009-10</w:t>
      </w:r>
    </w:p>
    <w:p w14:paraId="54F47EE9" w14:textId="77777777" w:rsidR="001D7130" w:rsidRPr="001D7130" w:rsidRDefault="001D7130" w:rsidP="001D7130">
      <w:pPr>
        <w:pStyle w:val="ListParagraph"/>
        <w:widowControl w:val="0"/>
        <w:tabs>
          <w:tab w:val="left" w:pos="560"/>
          <w:tab w:val="left" w:pos="1120"/>
          <w:tab w:val="left" w:pos="1418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 w:line="360" w:lineRule="auto"/>
        <w:ind w:left="0"/>
        <w:jc w:val="both"/>
        <w:rPr>
          <w:rFonts w:cs="Helvetica"/>
          <w:b/>
        </w:rPr>
      </w:pPr>
      <w:r w:rsidRPr="001D7130">
        <w:rPr>
          <w:rFonts w:cs="Helvetica"/>
          <w:b/>
        </w:rPr>
        <w:t>Medical leadership skills development:</w:t>
      </w:r>
    </w:p>
    <w:p w14:paraId="42B59F17" w14:textId="4B9B8440" w:rsidR="001D7130" w:rsidRPr="001D7130" w:rsidRDefault="001D7130" w:rsidP="001D7130">
      <w:pPr>
        <w:pStyle w:val="ListParagraph"/>
        <w:widowControl w:val="0"/>
        <w:numPr>
          <w:ilvl w:val="0"/>
          <w:numId w:val="19"/>
        </w:numPr>
        <w:tabs>
          <w:tab w:val="left" w:pos="560"/>
          <w:tab w:val="left" w:pos="1120"/>
          <w:tab w:val="left" w:pos="1418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 w:line="360" w:lineRule="auto"/>
        <w:ind w:left="567" w:hanging="207"/>
        <w:jc w:val="both"/>
        <w:rPr>
          <w:rFonts w:cs="Helvetica"/>
        </w:rPr>
      </w:pPr>
      <w:r w:rsidRPr="001D7130">
        <w:rPr>
          <w:rFonts w:cs="Helvetica"/>
        </w:rPr>
        <w:t>Dr Connor set up a network of “green champions” in renal units, carried out a baseline survey and analysed and disseminated results, developed practical case studies / business cases for improvement projects, and presented on Green Nephrology to senior groups including the Clinical Directors Forum and the Association of Renal Managers.  Case studies/ business cases developed to date:</w:t>
      </w:r>
    </w:p>
    <w:p w14:paraId="4CA50527" w14:textId="77777777" w:rsidR="001D7130" w:rsidRPr="001D7130" w:rsidRDefault="001D7130" w:rsidP="001D7130">
      <w:pPr>
        <w:numPr>
          <w:ilvl w:val="0"/>
          <w:numId w:val="20"/>
        </w:numPr>
        <w:spacing w:after="120" w:line="360" w:lineRule="auto"/>
        <w:jc w:val="both"/>
      </w:pPr>
      <w:r w:rsidRPr="001D7130">
        <w:t>Conserving water in haemodialysis (potential financial savings (England alone): £1.6 million/year);</w:t>
      </w:r>
    </w:p>
    <w:p w14:paraId="71C3942A" w14:textId="77777777" w:rsidR="001D7130" w:rsidRPr="001D7130" w:rsidRDefault="001D7130" w:rsidP="001D7130">
      <w:pPr>
        <w:numPr>
          <w:ilvl w:val="0"/>
          <w:numId w:val="20"/>
        </w:numPr>
        <w:spacing w:after="120" w:line="360" w:lineRule="auto"/>
        <w:jc w:val="both"/>
      </w:pPr>
      <w:r w:rsidRPr="001D7130">
        <w:t>Retrofit of heat exchangers to dialysis machines (potential financial savings (UK): £50,000/year);</w:t>
      </w:r>
    </w:p>
    <w:p w14:paraId="7717F7C8" w14:textId="77777777" w:rsidR="001D7130" w:rsidRPr="001D7130" w:rsidRDefault="001D7130" w:rsidP="001D7130">
      <w:pPr>
        <w:numPr>
          <w:ilvl w:val="0"/>
          <w:numId w:val="20"/>
        </w:numPr>
        <w:spacing w:after="120" w:line="360" w:lineRule="auto"/>
        <w:jc w:val="both"/>
      </w:pPr>
      <w:r w:rsidRPr="001D7130">
        <w:t>Telephone clinics in follow up of renal transplant recipients (significant potential for financial savings but dependent on local negotiation of tariff);</w:t>
      </w:r>
    </w:p>
    <w:p w14:paraId="6D899C7A" w14:textId="77777777" w:rsidR="001D7130" w:rsidRPr="001D7130" w:rsidRDefault="001D7130" w:rsidP="001D7130">
      <w:pPr>
        <w:numPr>
          <w:ilvl w:val="0"/>
          <w:numId w:val="20"/>
        </w:numPr>
        <w:spacing w:after="120" w:line="360" w:lineRule="auto"/>
        <w:jc w:val="both"/>
      </w:pPr>
      <w:r w:rsidRPr="001D7130">
        <w:t xml:space="preserve">Reduce, re-use, </w:t>
      </w:r>
      <w:proofErr w:type="gramStart"/>
      <w:r w:rsidRPr="001D7130">
        <w:t>recycle in the dialysis unit</w:t>
      </w:r>
      <w:proofErr w:type="gramEnd"/>
      <w:r w:rsidRPr="001D7130">
        <w:t xml:space="preserve"> (significant potential for financial savings with individual renal units saving &gt;£12,000 per year from simple waste reductions).</w:t>
      </w:r>
    </w:p>
    <w:p w14:paraId="5344F904" w14:textId="77777777" w:rsidR="001D7130" w:rsidRPr="001D7130" w:rsidRDefault="001D7130" w:rsidP="001D71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 w:line="360" w:lineRule="auto"/>
        <w:jc w:val="both"/>
        <w:rPr>
          <w:rFonts w:cs="Helvetica"/>
        </w:rPr>
      </w:pPr>
    </w:p>
    <w:p w14:paraId="181202AB" w14:textId="77777777" w:rsidR="001D7130" w:rsidRPr="001D7130" w:rsidRDefault="001D7130" w:rsidP="001D71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 w:line="360" w:lineRule="auto"/>
        <w:jc w:val="both"/>
        <w:rPr>
          <w:rFonts w:cs="Helvetica"/>
          <w:b/>
        </w:rPr>
      </w:pPr>
      <w:r w:rsidRPr="001D7130">
        <w:rPr>
          <w:rFonts w:cs="Helvetica"/>
          <w:b/>
        </w:rPr>
        <w:t>Academic qualifications:</w:t>
      </w:r>
    </w:p>
    <w:p w14:paraId="05FD2966" w14:textId="2EDBA5CE" w:rsidR="001D7130" w:rsidRPr="001D7130" w:rsidRDefault="001D7130" w:rsidP="001D7130">
      <w:pPr>
        <w:pStyle w:val="ListParagraph"/>
        <w:widowControl w:val="0"/>
        <w:numPr>
          <w:ilvl w:val="0"/>
          <w:numId w:val="18"/>
        </w:numPr>
        <w:tabs>
          <w:tab w:val="left" w:pos="560"/>
          <w:tab w:val="left" w:pos="1120"/>
          <w:tab w:val="left" w:pos="1418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 w:line="360" w:lineRule="auto"/>
        <w:ind w:left="567" w:hanging="207"/>
        <w:jc w:val="both"/>
        <w:rPr>
          <w:rFonts w:cs="Helvetica"/>
        </w:rPr>
      </w:pPr>
      <w:r w:rsidRPr="001D7130">
        <w:rPr>
          <w:rFonts w:cs="Helvetica"/>
        </w:rPr>
        <w:t>Dr</w:t>
      </w:r>
      <w:r w:rsidRPr="001D7130">
        <w:rPr>
          <w:rFonts w:cs="Helvetica"/>
        </w:rPr>
        <w:t xml:space="preserve"> Connor attained</w:t>
      </w:r>
      <w:r w:rsidRPr="001D7130">
        <w:rPr>
          <w:rFonts w:cs="Helvetica"/>
        </w:rPr>
        <w:t xml:space="preserve"> an MD from the University of Warwick as a result of the fellowship. </w:t>
      </w:r>
    </w:p>
    <w:p w14:paraId="5C29E846" w14:textId="77777777" w:rsidR="001D7130" w:rsidRPr="001D7130" w:rsidRDefault="001D7130" w:rsidP="001D7130">
      <w:pPr>
        <w:pStyle w:val="ListParagraph"/>
        <w:widowControl w:val="0"/>
        <w:numPr>
          <w:ilvl w:val="0"/>
          <w:numId w:val="18"/>
        </w:numPr>
        <w:tabs>
          <w:tab w:val="left" w:pos="560"/>
          <w:tab w:val="left" w:pos="1120"/>
          <w:tab w:val="left" w:pos="1418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 w:line="360" w:lineRule="auto"/>
        <w:ind w:left="567" w:hanging="207"/>
        <w:jc w:val="both"/>
        <w:rPr>
          <w:rFonts w:cs="Helvetica"/>
        </w:rPr>
      </w:pPr>
      <w:r w:rsidRPr="001D7130">
        <w:rPr>
          <w:rFonts w:cs="Helvetica"/>
        </w:rPr>
        <w:t>PRINCE 2 qualification obtained in project management.</w:t>
      </w:r>
    </w:p>
    <w:p w14:paraId="4EC0A470" w14:textId="77777777" w:rsidR="001D7130" w:rsidRPr="001D7130" w:rsidRDefault="001D7130" w:rsidP="001D7130">
      <w:pPr>
        <w:pStyle w:val="ListParagraph"/>
        <w:widowControl w:val="0"/>
        <w:numPr>
          <w:ilvl w:val="0"/>
          <w:numId w:val="18"/>
        </w:numPr>
        <w:tabs>
          <w:tab w:val="left" w:pos="560"/>
          <w:tab w:val="left" w:pos="1120"/>
          <w:tab w:val="left" w:pos="1418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 w:line="360" w:lineRule="auto"/>
        <w:ind w:left="567" w:hanging="207"/>
        <w:jc w:val="both"/>
        <w:rPr>
          <w:rFonts w:cs="Helvetica"/>
        </w:rPr>
      </w:pPr>
      <w:r w:rsidRPr="001D7130">
        <w:t>A Systems Approach to Patient Safety – short course completed, University of Warwick</w:t>
      </w:r>
    </w:p>
    <w:p w14:paraId="4F7142D0" w14:textId="77777777" w:rsidR="001D7130" w:rsidRPr="001D7130" w:rsidRDefault="001D7130" w:rsidP="001D7130">
      <w:pPr>
        <w:widowControl w:val="0"/>
        <w:tabs>
          <w:tab w:val="left" w:pos="560"/>
          <w:tab w:val="left" w:pos="1120"/>
          <w:tab w:val="left" w:pos="1418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 w:line="360" w:lineRule="auto"/>
        <w:jc w:val="both"/>
        <w:rPr>
          <w:rFonts w:cs="Helvetica"/>
        </w:rPr>
      </w:pPr>
    </w:p>
    <w:p w14:paraId="471D1581" w14:textId="77777777" w:rsidR="001D7130" w:rsidRPr="001D7130" w:rsidRDefault="001D7130" w:rsidP="001D7130">
      <w:pPr>
        <w:pStyle w:val="ListParagraph"/>
        <w:widowControl w:val="0"/>
        <w:tabs>
          <w:tab w:val="left" w:pos="560"/>
          <w:tab w:val="left" w:pos="1120"/>
          <w:tab w:val="left" w:pos="1418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 w:line="360" w:lineRule="auto"/>
        <w:ind w:left="0"/>
        <w:jc w:val="both"/>
        <w:rPr>
          <w:rFonts w:cs="Arial"/>
          <w:b/>
        </w:rPr>
      </w:pPr>
      <w:r w:rsidRPr="001D7130">
        <w:rPr>
          <w:rFonts w:cs="Arial"/>
          <w:b/>
        </w:rPr>
        <w:t xml:space="preserve">Conference presentations:  </w:t>
      </w:r>
    </w:p>
    <w:p w14:paraId="41CEDDF0" w14:textId="3B74918C" w:rsidR="001D7130" w:rsidRPr="001D7130" w:rsidRDefault="001D7130" w:rsidP="001D7130">
      <w:pPr>
        <w:pStyle w:val="ListParagraph"/>
        <w:widowControl w:val="0"/>
        <w:tabs>
          <w:tab w:val="left" w:pos="560"/>
          <w:tab w:val="left" w:pos="1120"/>
          <w:tab w:val="left" w:pos="1418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 w:line="360" w:lineRule="auto"/>
        <w:ind w:left="0"/>
        <w:jc w:val="both"/>
        <w:rPr>
          <w:rFonts w:cs="Arial"/>
        </w:rPr>
      </w:pPr>
      <w:r w:rsidRPr="001D7130">
        <w:rPr>
          <w:rFonts w:cs="Arial"/>
        </w:rPr>
        <w:t>Dr Connor presented to the British Renal Society / Renal Association annual conference in May 2010 on:</w:t>
      </w:r>
    </w:p>
    <w:p w14:paraId="3825257E" w14:textId="77777777" w:rsidR="001D7130" w:rsidRPr="001D7130" w:rsidRDefault="001D7130" w:rsidP="001D7130">
      <w:pPr>
        <w:pStyle w:val="ListParagraph"/>
        <w:widowControl w:val="0"/>
        <w:numPr>
          <w:ilvl w:val="0"/>
          <w:numId w:val="17"/>
        </w:numPr>
        <w:tabs>
          <w:tab w:val="left" w:pos="560"/>
          <w:tab w:val="left" w:pos="1120"/>
          <w:tab w:val="left" w:pos="1418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 w:line="360" w:lineRule="auto"/>
        <w:ind w:left="567" w:hanging="207"/>
        <w:jc w:val="both"/>
        <w:rPr>
          <w:rFonts w:cs="Arial"/>
        </w:rPr>
      </w:pPr>
      <w:r w:rsidRPr="001D7130">
        <w:rPr>
          <w:rFonts w:cs="Arial"/>
        </w:rPr>
        <w:t>Green Nephrology: Update on UK progress</w:t>
      </w:r>
    </w:p>
    <w:p w14:paraId="041C1C6F" w14:textId="77777777" w:rsidR="001D7130" w:rsidRPr="001D7130" w:rsidRDefault="001D7130" w:rsidP="001D7130">
      <w:pPr>
        <w:pStyle w:val="ListParagraph"/>
        <w:widowControl w:val="0"/>
        <w:numPr>
          <w:ilvl w:val="0"/>
          <w:numId w:val="17"/>
        </w:numPr>
        <w:tabs>
          <w:tab w:val="left" w:pos="560"/>
          <w:tab w:val="left" w:pos="1120"/>
          <w:tab w:val="left" w:pos="1418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 w:line="360" w:lineRule="auto"/>
        <w:ind w:left="567" w:hanging="207"/>
        <w:jc w:val="both"/>
        <w:rPr>
          <w:rFonts w:cs="Arial"/>
        </w:rPr>
      </w:pPr>
      <w:r w:rsidRPr="001D7130">
        <w:rPr>
          <w:rFonts w:cs="Arial"/>
        </w:rPr>
        <w:lastRenderedPageBreak/>
        <w:t>Poster presentation: The Follow Up of Renal Transplant Recipients by Telephone Consultation: Three Years Experience from a Single UK Renal Unit</w:t>
      </w:r>
    </w:p>
    <w:p w14:paraId="457B70A4" w14:textId="02008D2B" w:rsidR="001D7130" w:rsidRPr="001D7130" w:rsidRDefault="001D7130" w:rsidP="001D7130">
      <w:pPr>
        <w:pStyle w:val="ListParagraph"/>
        <w:widowControl w:val="0"/>
        <w:tabs>
          <w:tab w:val="left" w:pos="560"/>
          <w:tab w:val="left" w:pos="1120"/>
          <w:tab w:val="left" w:pos="1418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 w:line="360" w:lineRule="auto"/>
        <w:ind w:left="0"/>
        <w:jc w:val="both"/>
        <w:rPr>
          <w:rFonts w:cs="Arial"/>
        </w:rPr>
      </w:pPr>
      <w:proofErr w:type="gramStart"/>
      <w:r w:rsidRPr="001D7130">
        <w:rPr>
          <w:rFonts w:cs="Arial"/>
        </w:rPr>
        <w:t>And (by video) to the EDTNA/ERCA International Conference, Dublin, September 2010.</w:t>
      </w:r>
      <w:proofErr w:type="gramEnd"/>
    </w:p>
    <w:p w14:paraId="2B9D24C3" w14:textId="77777777" w:rsidR="001D7130" w:rsidRPr="001D7130" w:rsidRDefault="001D7130" w:rsidP="001D7130">
      <w:pPr>
        <w:pStyle w:val="ListParagraph"/>
        <w:widowControl w:val="0"/>
        <w:tabs>
          <w:tab w:val="left" w:pos="560"/>
          <w:tab w:val="left" w:pos="1120"/>
          <w:tab w:val="left" w:pos="1418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 w:line="360" w:lineRule="auto"/>
        <w:ind w:left="1440"/>
        <w:jc w:val="both"/>
        <w:rPr>
          <w:rFonts w:cs="Arial"/>
        </w:rPr>
      </w:pPr>
    </w:p>
    <w:p w14:paraId="469816DE" w14:textId="77777777" w:rsidR="001D7130" w:rsidRPr="001D7130" w:rsidRDefault="001D7130" w:rsidP="001D7130">
      <w:pPr>
        <w:pStyle w:val="ListParagraph"/>
        <w:widowControl w:val="0"/>
        <w:tabs>
          <w:tab w:val="left" w:pos="560"/>
          <w:tab w:val="left" w:pos="1120"/>
          <w:tab w:val="left" w:pos="1418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 w:line="360" w:lineRule="auto"/>
        <w:ind w:left="0"/>
        <w:jc w:val="both"/>
        <w:rPr>
          <w:rFonts w:cs="Helvetica"/>
          <w:b/>
        </w:rPr>
      </w:pPr>
      <w:r w:rsidRPr="001D7130">
        <w:rPr>
          <w:rFonts w:cs="Helvetica"/>
          <w:b/>
        </w:rPr>
        <w:t>Research:</w:t>
      </w:r>
    </w:p>
    <w:p w14:paraId="53B22E2B" w14:textId="77777777" w:rsidR="001D7130" w:rsidRPr="001D7130" w:rsidRDefault="001D7130" w:rsidP="001D7130">
      <w:pPr>
        <w:pStyle w:val="ListParagraph"/>
        <w:widowControl w:val="0"/>
        <w:numPr>
          <w:ilvl w:val="0"/>
          <w:numId w:val="18"/>
        </w:numPr>
        <w:tabs>
          <w:tab w:val="left" w:pos="560"/>
          <w:tab w:val="left" w:pos="1120"/>
          <w:tab w:val="left" w:pos="1418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 w:line="360" w:lineRule="auto"/>
        <w:ind w:left="567" w:hanging="207"/>
        <w:jc w:val="both"/>
        <w:rPr>
          <w:rFonts w:cs="Helvetica"/>
        </w:rPr>
      </w:pPr>
      <w:r w:rsidRPr="001D7130">
        <w:rPr>
          <w:rFonts w:cs="Helvetica"/>
        </w:rPr>
        <w:t xml:space="preserve">Carbon footprint of renal care in the UK: novel work, adapting carbon </w:t>
      </w:r>
      <w:proofErr w:type="spellStart"/>
      <w:r w:rsidRPr="001D7130">
        <w:rPr>
          <w:rFonts w:cs="Helvetica"/>
        </w:rPr>
        <w:t>footprinting</w:t>
      </w:r>
      <w:proofErr w:type="spellEnd"/>
      <w:r w:rsidRPr="001D7130">
        <w:rPr>
          <w:rFonts w:cs="Helvetica"/>
        </w:rPr>
        <w:t xml:space="preserve"> methodology to allow evaluation of a clinical service.</w:t>
      </w:r>
    </w:p>
    <w:p w14:paraId="75A21A8F" w14:textId="77777777" w:rsidR="001D7130" w:rsidRPr="001D7130" w:rsidRDefault="001D7130" w:rsidP="001D7130">
      <w:pPr>
        <w:pStyle w:val="ListParagraph"/>
        <w:widowControl w:val="0"/>
        <w:numPr>
          <w:ilvl w:val="0"/>
          <w:numId w:val="18"/>
        </w:numPr>
        <w:tabs>
          <w:tab w:val="left" w:pos="560"/>
          <w:tab w:val="left" w:pos="1120"/>
          <w:tab w:val="left" w:pos="1418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 w:line="360" w:lineRule="auto"/>
        <w:ind w:left="567" w:hanging="207"/>
        <w:jc w:val="both"/>
        <w:rPr>
          <w:rFonts w:cs="Helvetica"/>
        </w:rPr>
      </w:pPr>
      <w:r w:rsidRPr="001D7130">
        <w:rPr>
          <w:rFonts w:cs="Helvetica"/>
        </w:rPr>
        <w:t>Carbon footprint of the haemodialysis care pathway (in-centre versus home haemodialysis).</w:t>
      </w:r>
    </w:p>
    <w:p w14:paraId="66E1D236" w14:textId="77777777" w:rsidR="001D7130" w:rsidRPr="001D7130" w:rsidRDefault="001D7130" w:rsidP="001D7130">
      <w:pPr>
        <w:pStyle w:val="ListParagraph"/>
        <w:widowControl w:val="0"/>
        <w:tabs>
          <w:tab w:val="left" w:pos="560"/>
          <w:tab w:val="left" w:pos="1120"/>
          <w:tab w:val="left" w:pos="1418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 w:line="360" w:lineRule="auto"/>
        <w:ind w:left="1440"/>
        <w:jc w:val="both"/>
        <w:rPr>
          <w:rFonts w:cs="Helvetica"/>
        </w:rPr>
      </w:pPr>
    </w:p>
    <w:p w14:paraId="004A61F9" w14:textId="77777777" w:rsidR="001D7130" w:rsidRPr="001D7130" w:rsidRDefault="001D7130" w:rsidP="001D7130">
      <w:pPr>
        <w:pStyle w:val="ListParagraph"/>
        <w:widowControl w:val="0"/>
        <w:tabs>
          <w:tab w:val="left" w:pos="560"/>
          <w:tab w:val="left" w:pos="1120"/>
          <w:tab w:val="left" w:pos="1418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 w:line="360" w:lineRule="auto"/>
        <w:ind w:left="0"/>
        <w:jc w:val="both"/>
        <w:rPr>
          <w:rFonts w:cs="Arial"/>
          <w:b/>
        </w:rPr>
      </w:pPr>
      <w:r w:rsidRPr="001D7130">
        <w:rPr>
          <w:rFonts w:cs="Arial"/>
          <w:b/>
        </w:rPr>
        <w:t>Publications under review/accepted to date:</w:t>
      </w:r>
    </w:p>
    <w:p w14:paraId="1D880B30" w14:textId="77777777" w:rsidR="001D7130" w:rsidRPr="001D7130" w:rsidRDefault="001D7130" w:rsidP="001D7130">
      <w:pPr>
        <w:pStyle w:val="ListParagraph"/>
        <w:numPr>
          <w:ilvl w:val="0"/>
          <w:numId w:val="21"/>
        </w:numPr>
        <w:spacing w:after="240" w:line="360" w:lineRule="auto"/>
      </w:pPr>
      <w:r w:rsidRPr="001D7130">
        <w:t xml:space="preserve">Climate change and health: the role of the healthcare professional. John </w:t>
      </w:r>
      <w:proofErr w:type="spellStart"/>
      <w:r w:rsidRPr="001D7130">
        <w:t>Somner</w:t>
      </w:r>
      <w:proofErr w:type="spellEnd"/>
      <w:r w:rsidRPr="001D7130">
        <w:t xml:space="preserve">, Frances Mortimer, </w:t>
      </w:r>
      <w:r w:rsidRPr="001D7130">
        <w:rPr>
          <w:b/>
        </w:rPr>
        <w:t>Andrew Connor</w:t>
      </w:r>
      <w:r w:rsidRPr="001D7130">
        <w:t xml:space="preserve">, Mark Thompson </w:t>
      </w:r>
      <w:r w:rsidRPr="001D7130">
        <w:rPr>
          <w:b/>
          <w:i/>
        </w:rPr>
        <w:t>BMJ Learning</w:t>
      </w:r>
      <w:r w:rsidRPr="001D7130">
        <w:t xml:space="preserve">, published online November 2010. </w:t>
      </w:r>
      <w:r w:rsidRPr="001D7130">
        <w:rPr>
          <w:i/>
        </w:rPr>
        <w:t>Available at: http://learning.bmj.com/learning/search-result.html</w:t>
      </w:r>
      <w:proofErr w:type="gramStart"/>
      <w:r w:rsidRPr="001D7130">
        <w:rPr>
          <w:i/>
        </w:rPr>
        <w:t>?&amp;</w:t>
      </w:r>
      <w:proofErr w:type="gramEnd"/>
      <w:r w:rsidRPr="001D7130">
        <w:rPr>
          <w:i/>
        </w:rPr>
        <w:t xml:space="preserve">moduleId=10017515 </w:t>
      </w:r>
    </w:p>
    <w:p w14:paraId="0721E9B0" w14:textId="77777777" w:rsidR="001D7130" w:rsidRPr="001D7130" w:rsidRDefault="001D7130" w:rsidP="001D7130">
      <w:pPr>
        <w:pStyle w:val="ListParagraph"/>
        <w:numPr>
          <w:ilvl w:val="0"/>
          <w:numId w:val="21"/>
        </w:numPr>
        <w:spacing w:after="240" w:line="360" w:lineRule="auto"/>
      </w:pPr>
      <w:r w:rsidRPr="001D7130">
        <w:t xml:space="preserve">Climate change and health: the basics of climate science and the impacts of climate change. </w:t>
      </w:r>
      <w:r w:rsidRPr="001D7130">
        <w:rPr>
          <w:b/>
          <w:i/>
        </w:rPr>
        <w:t>BMJ Learning</w:t>
      </w:r>
      <w:r w:rsidRPr="001D7130">
        <w:t xml:space="preserve">, John </w:t>
      </w:r>
      <w:proofErr w:type="spellStart"/>
      <w:r w:rsidRPr="001D7130">
        <w:t>Somner</w:t>
      </w:r>
      <w:proofErr w:type="spellEnd"/>
      <w:r w:rsidRPr="001D7130">
        <w:t xml:space="preserve">, Frances Mortimer, </w:t>
      </w:r>
      <w:r w:rsidRPr="001D7130">
        <w:rPr>
          <w:b/>
        </w:rPr>
        <w:t>Andrew Connor</w:t>
      </w:r>
      <w:r w:rsidRPr="001D7130">
        <w:t xml:space="preserve">, Mark Thompson </w:t>
      </w:r>
      <w:r w:rsidRPr="001D7130">
        <w:rPr>
          <w:b/>
          <w:i/>
        </w:rPr>
        <w:t>BMJ Learning</w:t>
      </w:r>
      <w:r w:rsidRPr="001D7130">
        <w:t xml:space="preserve">, published online November 2010. </w:t>
      </w:r>
      <w:r w:rsidRPr="001D7130">
        <w:rPr>
          <w:i/>
        </w:rPr>
        <w:t>Available at: http://learning.bmj.com/learning/search-result.html</w:t>
      </w:r>
      <w:proofErr w:type="gramStart"/>
      <w:r w:rsidRPr="001D7130">
        <w:rPr>
          <w:i/>
        </w:rPr>
        <w:t>?&amp;</w:t>
      </w:r>
      <w:proofErr w:type="gramEnd"/>
      <w:r w:rsidRPr="001D7130">
        <w:rPr>
          <w:i/>
        </w:rPr>
        <w:t>moduleId=10017629</w:t>
      </w:r>
    </w:p>
    <w:p w14:paraId="3B0EAFB9" w14:textId="77777777" w:rsidR="001D7130" w:rsidRPr="001D7130" w:rsidRDefault="001D7130" w:rsidP="001D7130">
      <w:pPr>
        <w:pStyle w:val="ListParagraph"/>
        <w:widowControl w:val="0"/>
        <w:numPr>
          <w:ilvl w:val="0"/>
          <w:numId w:val="21"/>
        </w:numPr>
        <w:tabs>
          <w:tab w:val="left" w:pos="560"/>
          <w:tab w:val="left" w:pos="1120"/>
          <w:tab w:val="left" w:pos="1418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40" w:line="360" w:lineRule="auto"/>
        <w:jc w:val="both"/>
        <w:rPr>
          <w:rFonts w:cs="Arial"/>
          <w:i/>
        </w:rPr>
      </w:pPr>
      <w:r w:rsidRPr="001D7130">
        <w:t xml:space="preserve">The Carbon Footprints of Home and In-centre Maintenance Haemodialysis in the UK. </w:t>
      </w:r>
      <w:r w:rsidRPr="001D7130">
        <w:rPr>
          <w:b/>
        </w:rPr>
        <w:t>Connor A</w:t>
      </w:r>
      <w:r w:rsidRPr="001D7130">
        <w:t xml:space="preserve">, </w:t>
      </w:r>
      <w:proofErr w:type="spellStart"/>
      <w:r w:rsidRPr="001D7130">
        <w:t>Lillywhite</w:t>
      </w:r>
      <w:proofErr w:type="spellEnd"/>
      <w:r w:rsidRPr="001D7130">
        <w:t xml:space="preserve"> R, Cooke MW. </w:t>
      </w:r>
      <w:r w:rsidRPr="001D7130">
        <w:rPr>
          <w:i/>
        </w:rPr>
        <w:t>Accepted for publication by Haemodialysis International.</w:t>
      </w:r>
    </w:p>
    <w:p w14:paraId="3D781B2F" w14:textId="77777777" w:rsidR="001D7130" w:rsidRPr="001D7130" w:rsidRDefault="001D7130" w:rsidP="001D7130">
      <w:pPr>
        <w:pStyle w:val="ListParagraph"/>
        <w:widowControl w:val="0"/>
        <w:numPr>
          <w:ilvl w:val="0"/>
          <w:numId w:val="21"/>
        </w:numPr>
        <w:tabs>
          <w:tab w:val="left" w:pos="560"/>
          <w:tab w:val="left" w:pos="1120"/>
          <w:tab w:val="left" w:pos="1418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40" w:line="360" w:lineRule="auto"/>
        <w:jc w:val="both"/>
        <w:rPr>
          <w:rFonts w:cs="Arial"/>
          <w:i/>
        </w:rPr>
      </w:pPr>
      <w:r w:rsidRPr="001D7130">
        <w:t xml:space="preserve">The Carbon Footprint of a Renal Service in the United Kingdom. </w:t>
      </w:r>
      <w:r w:rsidRPr="001D7130">
        <w:rPr>
          <w:b/>
        </w:rPr>
        <w:t>Connor A</w:t>
      </w:r>
      <w:r w:rsidRPr="001D7130">
        <w:t xml:space="preserve">, </w:t>
      </w:r>
      <w:proofErr w:type="spellStart"/>
      <w:r w:rsidRPr="001D7130">
        <w:t>Lillywhite</w:t>
      </w:r>
      <w:proofErr w:type="spellEnd"/>
      <w:r w:rsidRPr="001D7130">
        <w:t xml:space="preserve"> R, Cooke MW. </w:t>
      </w:r>
      <w:r w:rsidRPr="001D7130">
        <w:rPr>
          <w:b/>
          <w:i/>
        </w:rPr>
        <w:t>Quarterly Journal of Medicine</w:t>
      </w:r>
      <w:r w:rsidRPr="001D7130">
        <w:rPr>
          <w:i/>
        </w:rPr>
        <w:t xml:space="preserve"> Advance Access published online on August 18, 2010</w:t>
      </w:r>
    </w:p>
    <w:p w14:paraId="43B79EC9" w14:textId="77777777" w:rsidR="001D7130" w:rsidRPr="001D7130" w:rsidRDefault="001D7130" w:rsidP="001D7130">
      <w:pPr>
        <w:pStyle w:val="ListParagraph"/>
        <w:widowControl w:val="0"/>
        <w:numPr>
          <w:ilvl w:val="0"/>
          <w:numId w:val="21"/>
        </w:numPr>
        <w:tabs>
          <w:tab w:val="left" w:pos="560"/>
          <w:tab w:val="left" w:pos="1120"/>
          <w:tab w:val="left" w:pos="1418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40" w:line="360" w:lineRule="auto"/>
        <w:jc w:val="both"/>
        <w:rPr>
          <w:rFonts w:cs="Arial"/>
          <w:i/>
        </w:rPr>
      </w:pPr>
      <w:r w:rsidRPr="001D7130">
        <w:t xml:space="preserve">Saving Carbon and Time. The Follow Up of Renal Transplant Recipients by Telephone Consultation: Three Years Experience from a Single UK Renal Unit.  </w:t>
      </w:r>
      <w:r w:rsidRPr="001D7130">
        <w:rPr>
          <w:b/>
        </w:rPr>
        <w:t>Connor A</w:t>
      </w:r>
      <w:r w:rsidRPr="001D7130">
        <w:t xml:space="preserve">, Mortimer F, Higgins R. </w:t>
      </w:r>
      <w:r w:rsidRPr="001D7130">
        <w:rPr>
          <w:b/>
          <w:i/>
        </w:rPr>
        <w:t>Clinical Medicine</w:t>
      </w:r>
      <w:r w:rsidRPr="001D7130">
        <w:rPr>
          <w:i/>
        </w:rPr>
        <w:t xml:space="preserve"> 2011 Jun</w:t>
      </w:r>
      <w:proofErr w:type="gramStart"/>
      <w:r w:rsidRPr="001D7130">
        <w:rPr>
          <w:i/>
        </w:rPr>
        <w:t>;11</w:t>
      </w:r>
      <w:proofErr w:type="gramEnd"/>
      <w:r w:rsidRPr="001D7130">
        <w:rPr>
          <w:i/>
        </w:rPr>
        <w:t>(3):242-6.</w:t>
      </w:r>
    </w:p>
    <w:p w14:paraId="76534E26" w14:textId="77777777" w:rsidR="001D7130" w:rsidRPr="001D7130" w:rsidRDefault="001D7130" w:rsidP="001D7130">
      <w:pPr>
        <w:pStyle w:val="ListParagraph"/>
        <w:widowControl w:val="0"/>
        <w:numPr>
          <w:ilvl w:val="0"/>
          <w:numId w:val="21"/>
        </w:numPr>
        <w:tabs>
          <w:tab w:val="left" w:pos="560"/>
          <w:tab w:val="left" w:pos="1120"/>
          <w:tab w:val="left" w:pos="1418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40" w:line="360" w:lineRule="auto"/>
        <w:jc w:val="both"/>
        <w:rPr>
          <w:rFonts w:cs="Arial"/>
          <w:i/>
        </w:rPr>
      </w:pPr>
      <w:r w:rsidRPr="001D7130">
        <w:t xml:space="preserve">Green Waste Management for Renal Medicine Units. </w:t>
      </w:r>
      <w:r w:rsidRPr="001D7130">
        <w:rPr>
          <w:b/>
        </w:rPr>
        <w:t>Connor A</w:t>
      </w:r>
      <w:r w:rsidRPr="001D7130">
        <w:t xml:space="preserve">, Thomson M, Mortimer F. </w:t>
      </w:r>
      <w:r w:rsidRPr="001D7130">
        <w:rPr>
          <w:b/>
          <w:i/>
        </w:rPr>
        <w:t xml:space="preserve">British Journal of Renal Medicine </w:t>
      </w:r>
      <w:r w:rsidRPr="001D7130">
        <w:rPr>
          <w:i/>
        </w:rPr>
        <w:t>2010</w:t>
      </w:r>
      <w:proofErr w:type="gramStart"/>
      <w:r w:rsidRPr="001D7130">
        <w:rPr>
          <w:i/>
        </w:rPr>
        <w:t>;15</w:t>
      </w:r>
      <w:proofErr w:type="gramEnd"/>
      <w:r w:rsidRPr="001D7130">
        <w:rPr>
          <w:i/>
        </w:rPr>
        <w:t>(2):7-11.</w:t>
      </w:r>
    </w:p>
    <w:p w14:paraId="74E9EC6E" w14:textId="77777777" w:rsidR="001D7130" w:rsidRPr="001D7130" w:rsidRDefault="001D7130" w:rsidP="001D7130">
      <w:pPr>
        <w:pStyle w:val="ListParagraph"/>
        <w:widowControl w:val="0"/>
        <w:numPr>
          <w:ilvl w:val="0"/>
          <w:numId w:val="21"/>
        </w:numPr>
        <w:tabs>
          <w:tab w:val="left" w:pos="560"/>
          <w:tab w:val="left" w:pos="1120"/>
          <w:tab w:val="left" w:pos="1418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40" w:line="360" w:lineRule="auto"/>
        <w:jc w:val="both"/>
        <w:rPr>
          <w:rFonts w:cs="Arial"/>
          <w:i/>
        </w:rPr>
      </w:pPr>
      <w:r w:rsidRPr="001D7130">
        <w:t xml:space="preserve">Eyes, economics and the environment - should green issues drive changes in ophthalmic care? Yes. </w:t>
      </w:r>
      <w:proofErr w:type="spellStart"/>
      <w:r w:rsidRPr="001D7130">
        <w:t>Somner</w:t>
      </w:r>
      <w:proofErr w:type="spellEnd"/>
      <w:r w:rsidRPr="001D7130">
        <w:t xml:space="preserve"> JEA, </w:t>
      </w:r>
      <w:r w:rsidRPr="001D7130">
        <w:rPr>
          <w:b/>
        </w:rPr>
        <w:t>Connor A</w:t>
      </w:r>
      <w:r w:rsidRPr="001D7130">
        <w:t xml:space="preserve">, Benjamin L. </w:t>
      </w:r>
      <w:r w:rsidRPr="001D7130">
        <w:rPr>
          <w:b/>
          <w:i/>
        </w:rPr>
        <w:t>Eye (</w:t>
      </w:r>
      <w:proofErr w:type="spellStart"/>
      <w:r w:rsidRPr="001D7130">
        <w:rPr>
          <w:b/>
          <w:i/>
        </w:rPr>
        <w:t>Lond</w:t>
      </w:r>
      <w:proofErr w:type="spellEnd"/>
      <w:r w:rsidRPr="001D7130">
        <w:rPr>
          <w:b/>
          <w:i/>
        </w:rPr>
        <w:t>)</w:t>
      </w:r>
      <w:r w:rsidRPr="001D7130">
        <w:rPr>
          <w:i/>
        </w:rPr>
        <w:t>. Eye (</w:t>
      </w:r>
      <w:proofErr w:type="spellStart"/>
      <w:r w:rsidRPr="001D7130">
        <w:rPr>
          <w:i/>
        </w:rPr>
        <w:t>Lond</w:t>
      </w:r>
      <w:proofErr w:type="spellEnd"/>
      <w:r w:rsidRPr="001D7130">
        <w:rPr>
          <w:i/>
        </w:rPr>
        <w:t>). 2010 May 21. [</w:t>
      </w:r>
      <w:proofErr w:type="spellStart"/>
      <w:r w:rsidRPr="001D7130">
        <w:rPr>
          <w:i/>
        </w:rPr>
        <w:t>Epub</w:t>
      </w:r>
      <w:proofErr w:type="spellEnd"/>
      <w:r w:rsidRPr="001D7130">
        <w:rPr>
          <w:i/>
        </w:rPr>
        <w:t xml:space="preserve"> ahead of print]</w:t>
      </w:r>
      <w:r w:rsidRPr="001D7130">
        <w:t xml:space="preserve"> </w:t>
      </w:r>
    </w:p>
    <w:p w14:paraId="4D203611" w14:textId="77777777" w:rsidR="001D7130" w:rsidRPr="001D7130" w:rsidRDefault="001D7130" w:rsidP="001D7130">
      <w:pPr>
        <w:pStyle w:val="ListParagraph"/>
        <w:widowControl w:val="0"/>
        <w:numPr>
          <w:ilvl w:val="0"/>
          <w:numId w:val="21"/>
        </w:numPr>
        <w:tabs>
          <w:tab w:val="left" w:pos="560"/>
          <w:tab w:val="left" w:pos="1120"/>
          <w:tab w:val="left" w:pos="1418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40" w:line="360" w:lineRule="auto"/>
        <w:jc w:val="both"/>
        <w:rPr>
          <w:rFonts w:cs="Arial"/>
          <w:i/>
        </w:rPr>
      </w:pPr>
      <w:r w:rsidRPr="001D7130">
        <w:t xml:space="preserve">The Green Nephrology Survey of Sustainability in Renal Units in England, Scotland and Wales.  Connor, A. and Mortimer, F. (2010). </w:t>
      </w:r>
      <w:r w:rsidRPr="001D7130">
        <w:rPr>
          <w:b/>
          <w:i/>
        </w:rPr>
        <w:t>Journal of Renal Care</w:t>
      </w:r>
      <w:r w:rsidRPr="001D7130">
        <w:t>, 36: 153–160</w:t>
      </w:r>
      <w:r w:rsidRPr="001D7130">
        <w:rPr>
          <w:i/>
        </w:rPr>
        <w:t>.</w:t>
      </w:r>
    </w:p>
    <w:p w14:paraId="67C6F8A0" w14:textId="77777777" w:rsidR="001D7130" w:rsidRPr="001D7130" w:rsidRDefault="001D7130" w:rsidP="001D7130">
      <w:pPr>
        <w:pStyle w:val="ListParagraph"/>
        <w:widowControl w:val="0"/>
        <w:numPr>
          <w:ilvl w:val="0"/>
          <w:numId w:val="21"/>
        </w:numPr>
        <w:tabs>
          <w:tab w:val="left" w:pos="560"/>
          <w:tab w:val="left" w:pos="1120"/>
          <w:tab w:val="left" w:pos="1418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40" w:line="360" w:lineRule="auto"/>
        <w:jc w:val="both"/>
        <w:rPr>
          <w:rFonts w:cs="Arial"/>
          <w:i/>
        </w:rPr>
      </w:pPr>
      <w:r w:rsidRPr="001D7130">
        <w:t xml:space="preserve">Heat exchangers in HD machines achieve significant environmental and cost savings. Campbell </w:t>
      </w:r>
      <w:r w:rsidRPr="001D7130">
        <w:lastRenderedPageBreak/>
        <w:t xml:space="preserve">F, Milne S, </w:t>
      </w:r>
      <w:r w:rsidRPr="001D7130">
        <w:rPr>
          <w:b/>
        </w:rPr>
        <w:t>Connor A,</w:t>
      </w:r>
      <w:r w:rsidRPr="001D7130">
        <w:t xml:space="preserve"> Stevens P. </w:t>
      </w:r>
      <w:r w:rsidRPr="001D7130">
        <w:rPr>
          <w:i/>
        </w:rPr>
        <w:t>Presented in abstract form at the Renal Association May 2010.</w:t>
      </w:r>
    </w:p>
    <w:p w14:paraId="573CF2C8" w14:textId="77777777" w:rsidR="001D7130" w:rsidRPr="001D7130" w:rsidRDefault="001D7130" w:rsidP="001D7130">
      <w:pPr>
        <w:pStyle w:val="ListParagraph"/>
        <w:widowControl w:val="0"/>
        <w:numPr>
          <w:ilvl w:val="0"/>
          <w:numId w:val="21"/>
        </w:numPr>
        <w:tabs>
          <w:tab w:val="left" w:pos="560"/>
          <w:tab w:val="left" w:pos="1120"/>
          <w:tab w:val="left" w:pos="1418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40" w:line="360" w:lineRule="auto"/>
        <w:jc w:val="both"/>
        <w:rPr>
          <w:rFonts w:cs="Arial"/>
          <w:i/>
        </w:rPr>
      </w:pPr>
      <w:r w:rsidRPr="001D7130">
        <w:t xml:space="preserve">Green Nephrology: Reducing kidney care’s carbon footprint.  </w:t>
      </w:r>
      <w:r w:rsidRPr="001D7130">
        <w:rPr>
          <w:b/>
        </w:rPr>
        <w:t xml:space="preserve">Connor A. </w:t>
      </w:r>
      <w:r w:rsidRPr="001D7130">
        <w:rPr>
          <w:b/>
          <w:i/>
        </w:rPr>
        <w:t>British Journal of Renal Medicine</w:t>
      </w:r>
      <w:r w:rsidRPr="001D7130">
        <w:rPr>
          <w:i/>
        </w:rPr>
        <w:t xml:space="preserve"> 2010</w:t>
      </w:r>
      <w:proofErr w:type="gramStart"/>
      <w:r w:rsidRPr="001D7130">
        <w:rPr>
          <w:i/>
        </w:rPr>
        <w:t>;15</w:t>
      </w:r>
      <w:proofErr w:type="gramEnd"/>
      <w:r w:rsidRPr="001D7130">
        <w:rPr>
          <w:i/>
        </w:rPr>
        <w:t>(1)   </w:t>
      </w:r>
      <w:r w:rsidRPr="001D7130">
        <w:rPr>
          <w:i/>
          <w:color w:val="FF0000"/>
        </w:rPr>
        <w:t xml:space="preserve"> </w:t>
      </w:r>
    </w:p>
    <w:p w14:paraId="583AC8A2" w14:textId="77777777" w:rsidR="001D7130" w:rsidRPr="001D7130" w:rsidRDefault="001D7130" w:rsidP="001D7130">
      <w:pPr>
        <w:pStyle w:val="ListParagraph"/>
        <w:widowControl w:val="0"/>
        <w:numPr>
          <w:ilvl w:val="0"/>
          <w:numId w:val="21"/>
        </w:numPr>
        <w:tabs>
          <w:tab w:val="left" w:pos="560"/>
          <w:tab w:val="left" w:pos="1120"/>
          <w:tab w:val="left" w:pos="1418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40" w:line="360" w:lineRule="auto"/>
        <w:jc w:val="both"/>
        <w:rPr>
          <w:rFonts w:cs="Arial"/>
          <w:i/>
        </w:rPr>
      </w:pPr>
      <w:r w:rsidRPr="001D7130">
        <w:t xml:space="preserve">Toward Green Dialysis: A Case Study to Illustrate and Encourage the Salvage of Reject Water. </w:t>
      </w:r>
      <w:r w:rsidRPr="001D7130">
        <w:rPr>
          <w:b/>
        </w:rPr>
        <w:t>Connor A.</w:t>
      </w:r>
      <w:r w:rsidRPr="001D7130">
        <w:t xml:space="preserve"> Milne S. Owen A. Boyle G. Mortimer F. Stevens PE. </w:t>
      </w:r>
      <w:r w:rsidRPr="001D7130">
        <w:rPr>
          <w:b/>
          <w:i/>
        </w:rPr>
        <w:t>Journal of Renal Care</w:t>
      </w:r>
      <w:r w:rsidRPr="001D7130">
        <w:rPr>
          <w:i/>
        </w:rPr>
        <w:t xml:space="preserve"> 2010</w:t>
      </w:r>
      <w:proofErr w:type="gramStart"/>
      <w:r w:rsidRPr="001D7130">
        <w:rPr>
          <w:i/>
        </w:rPr>
        <w:t>;36</w:t>
      </w:r>
      <w:proofErr w:type="gramEnd"/>
      <w:r w:rsidRPr="001D7130">
        <w:rPr>
          <w:i/>
        </w:rPr>
        <w:t xml:space="preserve">(2),68-72. </w:t>
      </w:r>
    </w:p>
    <w:p w14:paraId="622FD0DB" w14:textId="77777777" w:rsidR="001D7130" w:rsidRPr="001D7130" w:rsidRDefault="001D7130" w:rsidP="001D7130">
      <w:pPr>
        <w:pStyle w:val="ListParagraph"/>
        <w:widowControl w:val="0"/>
        <w:numPr>
          <w:ilvl w:val="0"/>
          <w:numId w:val="21"/>
        </w:numPr>
        <w:tabs>
          <w:tab w:val="left" w:pos="560"/>
          <w:tab w:val="left" w:pos="1120"/>
          <w:tab w:val="left" w:pos="1418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40" w:line="360" w:lineRule="auto"/>
        <w:jc w:val="both"/>
        <w:rPr>
          <w:rFonts w:cs="Arial"/>
          <w:i/>
        </w:rPr>
      </w:pPr>
      <w:r w:rsidRPr="001D7130">
        <w:t xml:space="preserve">Clinical Transformation – the Key to Green Nephrology. </w:t>
      </w:r>
      <w:r w:rsidRPr="001D7130">
        <w:rPr>
          <w:b/>
        </w:rPr>
        <w:t>Connor A</w:t>
      </w:r>
      <w:r w:rsidRPr="001D7130">
        <w:t xml:space="preserve">, Mortimer F, </w:t>
      </w:r>
      <w:proofErr w:type="spellStart"/>
      <w:r w:rsidRPr="001D7130">
        <w:t>Tomson</w:t>
      </w:r>
      <w:proofErr w:type="spellEnd"/>
      <w:r w:rsidRPr="001D7130">
        <w:t xml:space="preserve"> C. </w:t>
      </w:r>
      <w:r w:rsidRPr="001D7130">
        <w:rPr>
          <w:b/>
          <w:i/>
        </w:rPr>
        <w:t>Nephron Clinical Practice</w:t>
      </w:r>
      <w:r w:rsidRPr="001D7130">
        <w:rPr>
          <w:i/>
        </w:rPr>
        <w:t xml:space="preserve"> 2010</w:t>
      </w:r>
      <w:proofErr w:type="gramStart"/>
      <w:r w:rsidRPr="001D7130">
        <w:rPr>
          <w:i/>
        </w:rPr>
        <w:t>;116</w:t>
      </w:r>
      <w:proofErr w:type="gramEnd"/>
      <w:r w:rsidRPr="001D7130">
        <w:rPr>
          <w:i/>
        </w:rPr>
        <w:t>(3):201-206.</w:t>
      </w:r>
      <w:r w:rsidRPr="001D7130">
        <w:t xml:space="preserve"> </w:t>
      </w:r>
    </w:p>
    <w:p w14:paraId="5F6C51E0" w14:textId="77777777" w:rsidR="001D7130" w:rsidRPr="001D7130" w:rsidRDefault="001D7130" w:rsidP="001D7130">
      <w:pPr>
        <w:pStyle w:val="ListParagraph"/>
        <w:widowControl w:val="0"/>
        <w:numPr>
          <w:ilvl w:val="0"/>
          <w:numId w:val="21"/>
        </w:numPr>
        <w:tabs>
          <w:tab w:val="left" w:pos="560"/>
          <w:tab w:val="left" w:pos="1120"/>
          <w:tab w:val="left" w:pos="1418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40" w:line="360" w:lineRule="auto"/>
        <w:jc w:val="both"/>
        <w:rPr>
          <w:i/>
        </w:rPr>
      </w:pPr>
      <w:r w:rsidRPr="001D7130">
        <w:t xml:space="preserve">Renal medicine can take the lead in greener healthcare. </w:t>
      </w:r>
      <w:r w:rsidRPr="001D7130">
        <w:rPr>
          <w:b/>
        </w:rPr>
        <w:t>Connor A</w:t>
      </w:r>
      <w:r w:rsidRPr="001D7130">
        <w:t xml:space="preserve">, </w:t>
      </w:r>
      <w:proofErr w:type="spellStart"/>
      <w:r w:rsidRPr="001D7130">
        <w:t>Tomson</w:t>
      </w:r>
      <w:proofErr w:type="spellEnd"/>
      <w:r w:rsidRPr="001D7130">
        <w:t xml:space="preserve"> C, Mortimer F. </w:t>
      </w:r>
      <w:r w:rsidRPr="001D7130">
        <w:rPr>
          <w:b/>
          <w:i/>
        </w:rPr>
        <w:t>British Journal of Renal Medicine</w:t>
      </w:r>
      <w:r w:rsidRPr="001D7130">
        <w:rPr>
          <w:i/>
        </w:rPr>
        <w:t xml:space="preserve"> 2009/10</w:t>
      </w:r>
      <w:proofErr w:type="gramStart"/>
      <w:r w:rsidRPr="001D7130">
        <w:rPr>
          <w:i/>
        </w:rPr>
        <w:t>;14</w:t>
      </w:r>
      <w:proofErr w:type="gramEnd"/>
      <w:r w:rsidRPr="001D7130">
        <w:rPr>
          <w:i/>
        </w:rPr>
        <w:t>(4):19-22.</w:t>
      </w:r>
    </w:p>
    <w:p w14:paraId="2167E66F" w14:textId="2C503EDA" w:rsidR="001D7130" w:rsidRPr="001D7130" w:rsidRDefault="001D7130" w:rsidP="001D7130">
      <w:pPr>
        <w:pStyle w:val="ListParagraph"/>
        <w:widowControl w:val="0"/>
        <w:tabs>
          <w:tab w:val="left" w:pos="560"/>
          <w:tab w:val="left" w:pos="1120"/>
          <w:tab w:val="left" w:pos="1418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 w:line="360" w:lineRule="auto"/>
        <w:jc w:val="both"/>
        <w:rPr>
          <w:rFonts w:cs="Arial"/>
          <w:i/>
        </w:rPr>
      </w:pPr>
    </w:p>
    <w:p w14:paraId="7377D8D2" w14:textId="57F59DC0" w:rsidR="001E0402" w:rsidRPr="001D7130" w:rsidRDefault="006239C1" w:rsidP="00B9401C">
      <w:pPr>
        <w:widowControl w:val="0"/>
        <w:autoSpaceDE w:val="0"/>
        <w:autoSpaceDN w:val="0"/>
        <w:adjustRightInd w:val="0"/>
        <w:spacing w:after="0" w:line="320" w:lineRule="atLeast"/>
        <w:jc w:val="both"/>
        <w:rPr>
          <w:rFonts w:cs="Helvetica"/>
          <w:b/>
          <w:color w:val="262626"/>
          <w:lang w:val="en-US"/>
        </w:rPr>
      </w:pPr>
      <w:r w:rsidRPr="001D7130">
        <w:rPr>
          <w:b/>
        </w:rPr>
        <w:t>For further information, please contact:</w:t>
      </w:r>
    </w:p>
    <w:p w14:paraId="09A1ECBF" w14:textId="584E40FE" w:rsidR="003E4016" w:rsidRPr="001D7130" w:rsidRDefault="00A16357" w:rsidP="001E0402">
      <w:pPr>
        <w:widowControl w:val="0"/>
        <w:autoSpaceDE w:val="0"/>
        <w:autoSpaceDN w:val="0"/>
        <w:adjustRightInd w:val="0"/>
        <w:spacing w:after="0" w:line="320" w:lineRule="atLeast"/>
        <w:jc w:val="both"/>
        <w:rPr>
          <w:rFonts w:cs="Helvetica"/>
          <w:color w:val="262626"/>
          <w:lang w:val="en-US"/>
        </w:rPr>
      </w:pPr>
      <w:r w:rsidRPr="001D7130">
        <w:rPr>
          <w:rFonts w:cs="Helvetica"/>
          <w:color w:val="262626"/>
          <w:lang w:val="en-US"/>
        </w:rPr>
        <w:t>Frances Mortimer,</w:t>
      </w:r>
      <w:r w:rsidR="003E4016" w:rsidRPr="001D7130">
        <w:rPr>
          <w:rFonts w:cs="Helvetica"/>
          <w:color w:val="262626"/>
          <w:lang w:val="en-US"/>
        </w:rPr>
        <w:t xml:space="preserve"> Medical Director,</w:t>
      </w:r>
      <w:r w:rsidRPr="001D7130">
        <w:rPr>
          <w:rFonts w:cs="Helvetica"/>
          <w:color w:val="262626"/>
          <w:lang w:val="en-US"/>
        </w:rPr>
        <w:t xml:space="preserve"> Cen</w:t>
      </w:r>
      <w:r w:rsidR="003E4016" w:rsidRPr="001D7130">
        <w:rPr>
          <w:rFonts w:cs="Helvetica"/>
          <w:color w:val="262626"/>
          <w:lang w:val="en-US"/>
        </w:rPr>
        <w:t>tre for Sustainable Healthcare</w:t>
      </w:r>
    </w:p>
    <w:p w14:paraId="36CC3508" w14:textId="24041456" w:rsidR="00B9401C" w:rsidRPr="001D7130" w:rsidRDefault="00A16357" w:rsidP="001E0402">
      <w:pPr>
        <w:widowControl w:val="0"/>
        <w:autoSpaceDE w:val="0"/>
        <w:autoSpaceDN w:val="0"/>
        <w:adjustRightInd w:val="0"/>
        <w:spacing w:after="0" w:line="320" w:lineRule="atLeast"/>
        <w:jc w:val="both"/>
        <w:rPr>
          <w:rFonts w:cs="Helvetica"/>
          <w:color w:val="262626"/>
          <w:lang w:val="en-US"/>
        </w:rPr>
      </w:pPr>
      <w:hyperlink r:id="rId9" w:history="1">
        <w:r w:rsidRPr="001D7130">
          <w:rPr>
            <w:rStyle w:val="Hyperlink"/>
            <w:rFonts w:cs="Helvetica"/>
            <w:lang w:val="en-US"/>
          </w:rPr>
          <w:t>frances.mortimer@sustainablehealthcare.org.uk</w:t>
        </w:r>
      </w:hyperlink>
      <w:r w:rsidRPr="001D7130">
        <w:rPr>
          <w:rFonts w:cs="Helvetica"/>
          <w:color w:val="262626"/>
          <w:lang w:val="en-US"/>
        </w:rPr>
        <w:t xml:space="preserve"> </w:t>
      </w:r>
    </w:p>
    <w:p w14:paraId="35665A16" w14:textId="77777777" w:rsidR="00852F30" w:rsidRPr="001D7130" w:rsidRDefault="00852F30" w:rsidP="001E0402">
      <w:pPr>
        <w:pStyle w:val="NoSpacing"/>
        <w:jc w:val="both"/>
      </w:pPr>
    </w:p>
    <w:p w14:paraId="3EECEA25" w14:textId="57713599" w:rsidR="001D7130" w:rsidRPr="001D7130" w:rsidRDefault="001D7130" w:rsidP="001E0402">
      <w:pPr>
        <w:pStyle w:val="NoSpacing"/>
        <w:jc w:val="both"/>
      </w:pPr>
      <w:proofErr w:type="gramStart"/>
      <w:r>
        <w:t>or</w:t>
      </w:r>
      <w:proofErr w:type="gramEnd"/>
      <w:r>
        <w:t xml:space="preserve"> </w:t>
      </w:r>
      <w:r w:rsidRPr="001D7130">
        <w:t>visit</w:t>
      </w:r>
      <w:r>
        <w:t>:</w:t>
      </w:r>
    </w:p>
    <w:p w14:paraId="21DF6017" w14:textId="72E6EBBD" w:rsidR="001D7130" w:rsidRPr="001D7130" w:rsidRDefault="001D7130" w:rsidP="001E0402">
      <w:pPr>
        <w:pStyle w:val="NoSpacing"/>
        <w:jc w:val="both"/>
      </w:pPr>
      <w:hyperlink r:id="rId10" w:history="1">
        <w:r w:rsidRPr="001D7130">
          <w:rPr>
            <w:rStyle w:val="Hyperlink"/>
          </w:rPr>
          <w:t>http://sustainablehealthcar</w:t>
        </w:r>
        <w:bookmarkStart w:id="0" w:name="_GoBack"/>
        <w:bookmarkEnd w:id="0"/>
        <w:r w:rsidRPr="001D7130">
          <w:rPr>
            <w:rStyle w:val="Hyperlink"/>
          </w:rPr>
          <w:t>e.org.uk/green-nephrology</w:t>
        </w:r>
      </w:hyperlink>
      <w:r w:rsidRPr="001D7130">
        <w:t xml:space="preserve"> </w:t>
      </w:r>
    </w:p>
    <w:sectPr w:rsidR="001D7130" w:rsidRPr="001D7130" w:rsidSect="00DA652E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276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2D8E48" w14:textId="77777777" w:rsidR="00423BE5" w:rsidRDefault="00423BE5" w:rsidP="004E1F2B">
      <w:pPr>
        <w:spacing w:after="0" w:line="240" w:lineRule="auto"/>
      </w:pPr>
      <w:r>
        <w:separator/>
      </w:r>
    </w:p>
  </w:endnote>
  <w:endnote w:type="continuationSeparator" w:id="0">
    <w:p w14:paraId="6053DF88" w14:textId="77777777" w:rsidR="00423BE5" w:rsidRDefault="00423BE5" w:rsidP="004E1F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rajan Pro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illSans Light">
    <w:altName w:val="Century Gothic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Palatino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GillSans">
    <w:altName w:val="Gill Sans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AA34C0" w14:textId="4478FCF8" w:rsidR="00423BE5" w:rsidRPr="001E0402" w:rsidRDefault="00423BE5" w:rsidP="001E0402">
    <w:pPr>
      <w:pStyle w:val="Default"/>
      <w:tabs>
        <w:tab w:val="right" w:pos="9214"/>
      </w:tabs>
      <w:spacing w:before="240"/>
      <w:ind w:left="-284" w:right="-188"/>
      <w:rPr>
        <w:rFonts w:ascii="Palatino" w:hAnsi="Palatino" w:cs="Palatino"/>
        <w:i/>
        <w:iCs/>
        <w:color w:val="A6A6A6"/>
        <w:sz w:val="22"/>
        <w:szCs w:val="23"/>
      </w:rPr>
    </w:pPr>
    <w:r w:rsidRPr="001E0402">
      <w:rPr>
        <w:color w:val="A6A6A6"/>
        <w:sz w:val="21"/>
        <w:szCs w:val="23"/>
      </w:rPr>
      <w:t xml:space="preserve">THE CENTRE </w:t>
    </w:r>
    <w:r w:rsidRPr="001E0402">
      <w:rPr>
        <w:rFonts w:ascii="Palatino" w:hAnsi="Palatino" w:cs="Palatino"/>
        <w:i/>
        <w:iCs/>
        <w:color w:val="A6A6A6"/>
        <w:sz w:val="22"/>
        <w:szCs w:val="23"/>
      </w:rPr>
      <w:t xml:space="preserve">for </w:t>
    </w:r>
    <w:r w:rsidRPr="001E0402">
      <w:rPr>
        <w:color w:val="A6A6A6"/>
        <w:sz w:val="21"/>
        <w:szCs w:val="23"/>
      </w:rPr>
      <w:t xml:space="preserve">SUSTAINABLE HEALTHCARE </w:t>
    </w:r>
    <w:r>
      <w:rPr>
        <w:color w:val="A6A6A6"/>
        <w:sz w:val="21"/>
        <w:szCs w:val="23"/>
      </w:rPr>
      <w:tab/>
    </w:r>
    <w:r>
      <w:rPr>
        <w:rStyle w:val="PageNumber"/>
        <w:rFonts w:asciiTheme="minorHAnsi" w:eastAsiaTheme="minorHAnsi" w:hAnsiTheme="minorHAnsi" w:cstheme="minorBidi"/>
        <w:noProof w:val="0"/>
        <w:color w:val="auto"/>
        <w:sz w:val="22"/>
        <w:szCs w:val="22"/>
      </w:rPr>
      <w:fldChar w:fldCharType="begin"/>
    </w:r>
    <w:r>
      <w:rPr>
        <w:rStyle w:val="PageNumber"/>
        <w:rFonts w:asciiTheme="minorHAnsi" w:eastAsiaTheme="minorHAnsi" w:hAnsiTheme="minorHAnsi" w:cstheme="minorBidi"/>
        <w:noProof w:val="0"/>
        <w:color w:val="auto"/>
        <w:sz w:val="22"/>
        <w:szCs w:val="22"/>
      </w:rPr>
      <w:instrText xml:space="preserve"> PAGE </w:instrText>
    </w:r>
    <w:r>
      <w:rPr>
        <w:rStyle w:val="PageNumber"/>
        <w:rFonts w:asciiTheme="minorHAnsi" w:eastAsiaTheme="minorHAnsi" w:hAnsiTheme="minorHAnsi" w:cstheme="minorBidi"/>
        <w:noProof w:val="0"/>
        <w:color w:val="auto"/>
        <w:sz w:val="22"/>
        <w:szCs w:val="22"/>
      </w:rPr>
      <w:fldChar w:fldCharType="separate"/>
    </w:r>
    <w:r w:rsidR="001D7130">
      <w:rPr>
        <w:rStyle w:val="PageNumber"/>
        <w:rFonts w:asciiTheme="minorHAnsi" w:eastAsiaTheme="minorHAnsi" w:hAnsiTheme="minorHAnsi" w:cstheme="minorBidi"/>
        <w:color w:val="auto"/>
        <w:sz w:val="22"/>
        <w:szCs w:val="22"/>
      </w:rPr>
      <w:t>2</w:t>
    </w:r>
    <w:r>
      <w:rPr>
        <w:rStyle w:val="PageNumber"/>
        <w:rFonts w:asciiTheme="minorHAnsi" w:eastAsiaTheme="minorHAnsi" w:hAnsiTheme="minorHAnsi" w:cstheme="minorBidi"/>
        <w:noProof w:val="0"/>
        <w:color w:val="auto"/>
        <w:sz w:val="22"/>
        <w:szCs w:val="22"/>
      </w:rPr>
      <w:fldChar w:fldCharType="end"/>
    </w:r>
  </w:p>
  <w:p w14:paraId="62B6A621" w14:textId="77777777" w:rsidR="00423BE5" w:rsidRPr="001E0402" w:rsidRDefault="00423BE5" w:rsidP="001E0402">
    <w:pPr>
      <w:pStyle w:val="Pa0"/>
      <w:spacing w:before="100"/>
      <w:ind w:left="-284" w:right="-188"/>
      <w:rPr>
        <w:rFonts w:ascii="GillSans Light" w:hAnsi="GillSans Light" w:cs="GillSans Light"/>
        <w:color w:val="A6A6A6"/>
        <w:sz w:val="18"/>
        <w:szCs w:val="20"/>
      </w:rPr>
    </w:pPr>
    <w:r w:rsidRPr="001E0402">
      <w:rPr>
        <w:rStyle w:val="A1"/>
        <w:color w:val="A6A6A6"/>
        <w:sz w:val="16"/>
      </w:rPr>
      <w:t xml:space="preserve">Cranbrook House 287-291 Banbury Road Oxford OX2 7JQ </w:t>
    </w:r>
    <w:r>
      <w:rPr>
        <w:rStyle w:val="A1"/>
        <w:color w:val="A6A6A6"/>
        <w:sz w:val="16"/>
      </w:rPr>
      <w:tab/>
    </w:r>
    <w:r w:rsidRPr="001E0402">
      <w:rPr>
        <w:rStyle w:val="A1"/>
        <w:rFonts w:ascii="GillSans" w:hAnsi="GillSans" w:cs="GillSans"/>
        <w:color w:val="A6A6A6"/>
        <w:sz w:val="18"/>
        <w:u w:val="single"/>
      </w:rPr>
      <w:t>www.sustainablehealthcare.org.uk/sustainable-operating-theatres</w:t>
    </w:r>
  </w:p>
  <w:p w14:paraId="14102DE9" w14:textId="77777777" w:rsidR="00423BE5" w:rsidRPr="001E0402" w:rsidRDefault="00423BE5" w:rsidP="001E0402">
    <w:pPr>
      <w:pStyle w:val="Footer"/>
      <w:tabs>
        <w:tab w:val="left" w:pos="1125"/>
      </w:tabs>
      <w:ind w:left="-284" w:right="-188"/>
      <w:rPr>
        <w:rFonts w:asciiTheme="majorHAnsi" w:hAnsiTheme="majorHAnsi" w:cs="Arial"/>
        <w:color w:val="808080"/>
        <w:sz w:val="14"/>
        <w:szCs w:val="16"/>
        <w:lang w:val="sv-SE"/>
      </w:rPr>
    </w:pPr>
  </w:p>
  <w:p w14:paraId="77A670F9" w14:textId="546D3306" w:rsidR="00423BE5" w:rsidRPr="001E0402" w:rsidRDefault="00423BE5" w:rsidP="001E0402">
    <w:pPr>
      <w:pStyle w:val="Footer"/>
      <w:tabs>
        <w:tab w:val="left" w:pos="1125"/>
      </w:tabs>
      <w:ind w:left="-284" w:right="-188"/>
      <w:rPr>
        <w:rFonts w:asciiTheme="majorHAnsi" w:hAnsiTheme="majorHAnsi" w:cs="Arial"/>
        <w:color w:val="808080"/>
        <w:sz w:val="14"/>
        <w:szCs w:val="16"/>
        <w:lang w:val="sv-SE"/>
      </w:rPr>
    </w:pPr>
    <w:r w:rsidRPr="001E0402">
      <w:rPr>
        <w:rFonts w:asciiTheme="majorHAnsi" w:hAnsiTheme="majorHAnsi" w:cs="Arial"/>
        <w:color w:val="808080"/>
        <w:sz w:val="14"/>
        <w:szCs w:val="16"/>
        <w:lang w:val="sv-SE"/>
      </w:rPr>
      <w:t xml:space="preserve">The Centre for </w:t>
    </w:r>
    <w:proofErr w:type="spellStart"/>
    <w:r w:rsidRPr="001E0402">
      <w:rPr>
        <w:rFonts w:asciiTheme="majorHAnsi" w:hAnsiTheme="majorHAnsi" w:cs="Arial"/>
        <w:color w:val="808080"/>
        <w:sz w:val="14"/>
        <w:szCs w:val="16"/>
        <w:lang w:val="sv-SE"/>
      </w:rPr>
      <w:t>Sustainable</w:t>
    </w:r>
    <w:proofErr w:type="spellEnd"/>
    <w:r w:rsidRPr="001E0402">
      <w:rPr>
        <w:rFonts w:asciiTheme="majorHAnsi" w:hAnsiTheme="majorHAnsi" w:cs="Arial"/>
        <w:color w:val="808080"/>
        <w:sz w:val="14"/>
        <w:szCs w:val="16"/>
        <w:lang w:val="sv-SE"/>
      </w:rPr>
      <w:t xml:space="preserve"> Healthcare is </w:t>
    </w:r>
    <w:proofErr w:type="spellStart"/>
    <w:r w:rsidRPr="001E0402">
      <w:rPr>
        <w:rFonts w:asciiTheme="majorHAnsi" w:hAnsiTheme="majorHAnsi" w:cs="Arial"/>
        <w:color w:val="808080"/>
        <w:sz w:val="14"/>
        <w:szCs w:val="16"/>
        <w:lang w:val="sv-SE"/>
      </w:rPr>
      <w:t>registered</w:t>
    </w:r>
    <w:proofErr w:type="spellEnd"/>
    <w:r w:rsidRPr="001E0402">
      <w:rPr>
        <w:rFonts w:asciiTheme="majorHAnsi" w:hAnsiTheme="majorHAnsi" w:cs="Arial"/>
        <w:color w:val="808080"/>
        <w:sz w:val="14"/>
        <w:szCs w:val="16"/>
        <w:lang w:val="sv-SE"/>
      </w:rPr>
      <w:t xml:space="preserve"> in England &amp; Wales as a </w:t>
    </w:r>
    <w:proofErr w:type="spellStart"/>
    <w:r w:rsidRPr="001E0402">
      <w:rPr>
        <w:rFonts w:asciiTheme="majorHAnsi" w:hAnsiTheme="majorHAnsi" w:cs="Arial"/>
        <w:color w:val="808080"/>
        <w:sz w:val="14"/>
        <w:szCs w:val="16"/>
        <w:lang w:val="sv-SE"/>
      </w:rPr>
      <w:t>company</w:t>
    </w:r>
    <w:proofErr w:type="spellEnd"/>
    <w:r w:rsidRPr="001E0402">
      <w:rPr>
        <w:rFonts w:asciiTheme="majorHAnsi" w:hAnsiTheme="majorHAnsi" w:cs="Arial"/>
        <w:color w:val="808080"/>
        <w:sz w:val="14"/>
        <w:szCs w:val="16"/>
        <w:lang w:val="sv-SE"/>
      </w:rPr>
      <w:t xml:space="preserve"> </w:t>
    </w:r>
    <w:proofErr w:type="spellStart"/>
    <w:r w:rsidRPr="001E0402">
      <w:rPr>
        <w:rFonts w:asciiTheme="majorHAnsi" w:hAnsiTheme="majorHAnsi" w:cs="Arial"/>
        <w:color w:val="808080"/>
        <w:sz w:val="14"/>
        <w:szCs w:val="16"/>
        <w:lang w:val="sv-SE"/>
      </w:rPr>
      <w:t>limited</w:t>
    </w:r>
    <w:proofErr w:type="spellEnd"/>
    <w:r w:rsidRPr="001E0402">
      <w:rPr>
        <w:rFonts w:asciiTheme="majorHAnsi" w:hAnsiTheme="majorHAnsi" w:cs="Arial"/>
        <w:color w:val="808080"/>
        <w:sz w:val="14"/>
        <w:szCs w:val="16"/>
        <w:lang w:val="sv-SE"/>
      </w:rPr>
      <w:t xml:space="preserve"> by </w:t>
    </w:r>
    <w:proofErr w:type="spellStart"/>
    <w:r w:rsidRPr="001E0402">
      <w:rPr>
        <w:rFonts w:asciiTheme="majorHAnsi" w:hAnsiTheme="majorHAnsi" w:cs="Arial"/>
        <w:color w:val="808080"/>
        <w:sz w:val="14"/>
        <w:szCs w:val="16"/>
        <w:lang w:val="sv-SE"/>
      </w:rPr>
      <w:t>guarantee</w:t>
    </w:r>
    <w:proofErr w:type="spellEnd"/>
    <w:r w:rsidRPr="001E0402">
      <w:rPr>
        <w:rFonts w:asciiTheme="majorHAnsi" w:hAnsiTheme="majorHAnsi" w:cs="Arial"/>
        <w:color w:val="808080"/>
        <w:sz w:val="14"/>
        <w:szCs w:val="16"/>
        <w:lang w:val="sv-SE"/>
      </w:rPr>
      <w:t xml:space="preserve"> </w:t>
    </w:r>
    <w:r w:rsidRPr="001E0402">
      <w:rPr>
        <w:rFonts w:asciiTheme="majorHAnsi" w:hAnsiTheme="majorHAnsi" w:cs="Arial"/>
        <w:color w:val="808080"/>
        <w:sz w:val="14"/>
        <w:szCs w:val="16"/>
        <w:lang w:val="en"/>
      </w:rPr>
      <w:t>No. 7450026 and as a charity No. 1143189. Registered address: 8 King Edward Street, Oxford, OX1 4HL.</w: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7D53DF" w14:textId="33DD6ECB" w:rsidR="00423BE5" w:rsidRPr="001E0402" w:rsidRDefault="00423BE5" w:rsidP="001E0402">
    <w:pPr>
      <w:pStyle w:val="Default"/>
      <w:tabs>
        <w:tab w:val="right" w:pos="9214"/>
      </w:tabs>
      <w:spacing w:before="240"/>
      <w:ind w:left="-284" w:right="-188"/>
      <w:rPr>
        <w:rFonts w:ascii="Palatino" w:hAnsi="Palatino" w:cs="Palatino"/>
        <w:i/>
        <w:iCs/>
        <w:color w:val="A6A6A6"/>
        <w:sz w:val="22"/>
        <w:szCs w:val="23"/>
      </w:rPr>
    </w:pPr>
    <w:r w:rsidRPr="001E0402">
      <w:rPr>
        <w:color w:val="A6A6A6"/>
        <w:sz w:val="21"/>
        <w:szCs w:val="23"/>
      </w:rPr>
      <w:t xml:space="preserve">THE CENTRE </w:t>
    </w:r>
    <w:r w:rsidRPr="001E0402">
      <w:rPr>
        <w:rFonts w:ascii="Palatino" w:hAnsi="Palatino" w:cs="Palatino"/>
        <w:i/>
        <w:iCs/>
        <w:color w:val="A6A6A6"/>
        <w:sz w:val="22"/>
        <w:szCs w:val="23"/>
      </w:rPr>
      <w:t xml:space="preserve">for </w:t>
    </w:r>
    <w:r w:rsidRPr="001E0402">
      <w:rPr>
        <w:color w:val="A6A6A6"/>
        <w:sz w:val="21"/>
        <w:szCs w:val="23"/>
      </w:rPr>
      <w:t xml:space="preserve">SUSTAINABLE HEALTHCARE </w:t>
    </w:r>
    <w:r>
      <w:rPr>
        <w:color w:val="A6A6A6"/>
        <w:sz w:val="21"/>
        <w:szCs w:val="23"/>
      </w:rPr>
      <w:tab/>
    </w:r>
    <w:r>
      <w:rPr>
        <w:rStyle w:val="PageNumber"/>
        <w:rFonts w:asciiTheme="minorHAnsi" w:eastAsiaTheme="minorHAnsi" w:hAnsiTheme="minorHAnsi" w:cstheme="minorBidi"/>
        <w:noProof w:val="0"/>
        <w:color w:val="auto"/>
        <w:sz w:val="22"/>
        <w:szCs w:val="22"/>
      </w:rPr>
      <w:fldChar w:fldCharType="begin"/>
    </w:r>
    <w:r>
      <w:rPr>
        <w:rStyle w:val="PageNumber"/>
        <w:rFonts w:asciiTheme="minorHAnsi" w:eastAsiaTheme="minorHAnsi" w:hAnsiTheme="minorHAnsi" w:cstheme="minorBidi"/>
        <w:noProof w:val="0"/>
        <w:color w:val="auto"/>
        <w:sz w:val="22"/>
        <w:szCs w:val="22"/>
      </w:rPr>
      <w:instrText xml:space="preserve"> PAGE </w:instrText>
    </w:r>
    <w:r>
      <w:rPr>
        <w:rStyle w:val="PageNumber"/>
        <w:rFonts w:asciiTheme="minorHAnsi" w:eastAsiaTheme="minorHAnsi" w:hAnsiTheme="minorHAnsi" w:cstheme="minorBidi"/>
        <w:noProof w:val="0"/>
        <w:color w:val="auto"/>
        <w:sz w:val="22"/>
        <w:szCs w:val="22"/>
      </w:rPr>
      <w:fldChar w:fldCharType="separate"/>
    </w:r>
    <w:r w:rsidR="001D7130">
      <w:rPr>
        <w:rStyle w:val="PageNumber"/>
        <w:rFonts w:asciiTheme="minorHAnsi" w:eastAsiaTheme="minorHAnsi" w:hAnsiTheme="minorHAnsi" w:cstheme="minorBidi"/>
        <w:color w:val="auto"/>
        <w:sz w:val="22"/>
        <w:szCs w:val="22"/>
      </w:rPr>
      <w:t>1</w:t>
    </w:r>
    <w:r>
      <w:rPr>
        <w:rStyle w:val="PageNumber"/>
        <w:rFonts w:asciiTheme="minorHAnsi" w:eastAsiaTheme="minorHAnsi" w:hAnsiTheme="minorHAnsi" w:cstheme="minorBidi"/>
        <w:noProof w:val="0"/>
        <w:color w:val="auto"/>
        <w:sz w:val="22"/>
        <w:szCs w:val="22"/>
      </w:rPr>
      <w:fldChar w:fldCharType="end"/>
    </w:r>
  </w:p>
  <w:p w14:paraId="67077FEE" w14:textId="7FD28166" w:rsidR="00423BE5" w:rsidRPr="001E0402" w:rsidRDefault="00423BE5" w:rsidP="001E0402">
    <w:pPr>
      <w:pStyle w:val="Pa0"/>
      <w:spacing w:before="100"/>
      <w:ind w:left="-284" w:right="-188"/>
      <w:rPr>
        <w:rFonts w:ascii="GillSans Light" w:hAnsi="GillSans Light" w:cs="GillSans Light"/>
        <w:color w:val="A6A6A6"/>
        <w:sz w:val="18"/>
        <w:szCs w:val="20"/>
      </w:rPr>
    </w:pPr>
    <w:r w:rsidRPr="001E0402">
      <w:rPr>
        <w:rStyle w:val="A1"/>
        <w:color w:val="A6A6A6"/>
        <w:sz w:val="16"/>
      </w:rPr>
      <w:t xml:space="preserve">Cranbrook House 287-291 Banbury Road Oxford OX2 7JQ </w:t>
    </w:r>
    <w:r>
      <w:rPr>
        <w:rStyle w:val="A1"/>
        <w:color w:val="A6A6A6"/>
        <w:sz w:val="16"/>
      </w:rPr>
      <w:tab/>
    </w:r>
    <w:r w:rsidRPr="001E0402">
      <w:rPr>
        <w:rStyle w:val="A1"/>
        <w:rFonts w:ascii="GillSans" w:hAnsi="GillSans" w:cs="GillSans"/>
        <w:color w:val="A6A6A6"/>
        <w:sz w:val="18"/>
        <w:u w:val="single"/>
      </w:rPr>
      <w:t>www.sustainablehealthcare.org.uk/sustainable-operating-theatres</w:t>
    </w:r>
  </w:p>
  <w:p w14:paraId="02698892" w14:textId="77777777" w:rsidR="00423BE5" w:rsidRPr="001E0402" w:rsidRDefault="00423BE5" w:rsidP="001E0402">
    <w:pPr>
      <w:pStyle w:val="Footer"/>
      <w:tabs>
        <w:tab w:val="left" w:pos="1125"/>
      </w:tabs>
      <w:ind w:left="-284" w:right="-188"/>
      <w:rPr>
        <w:rFonts w:asciiTheme="majorHAnsi" w:hAnsiTheme="majorHAnsi" w:cs="Arial"/>
        <w:color w:val="808080"/>
        <w:sz w:val="14"/>
        <w:szCs w:val="16"/>
        <w:lang w:val="sv-SE"/>
      </w:rPr>
    </w:pPr>
  </w:p>
  <w:p w14:paraId="53D3E5EF" w14:textId="25A8F0C1" w:rsidR="00423BE5" w:rsidRPr="001E0402" w:rsidRDefault="00423BE5" w:rsidP="001E0402">
    <w:pPr>
      <w:pStyle w:val="Footer"/>
      <w:tabs>
        <w:tab w:val="left" w:pos="1125"/>
      </w:tabs>
      <w:ind w:left="-284" w:right="-188"/>
      <w:rPr>
        <w:rFonts w:asciiTheme="majorHAnsi" w:hAnsiTheme="majorHAnsi" w:cs="Arial"/>
        <w:color w:val="808080"/>
        <w:sz w:val="14"/>
        <w:szCs w:val="16"/>
        <w:lang w:val="sv-SE"/>
      </w:rPr>
    </w:pPr>
    <w:r w:rsidRPr="001E0402">
      <w:rPr>
        <w:rFonts w:asciiTheme="majorHAnsi" w:hAnsiTheme="majorHAnsi" w:cs="Arial"/>
        <w:color w:val="808080"/>
        <w:sz w:val="14"/>
        <w:szCs w:val="16"/>
        <w:lang w:val="sv-SE"/>
      </w:rPr>
      <w:t xml:space="preserve">The Centre for </w:t>
    </w:r>
    <w:proofErr w:type="spellStart"/>
    <w:r w:rsidRPr="001E0402">
      <w:rPr>
        <w:rFonts w:asciiTheme="majorHAnsi" w:hAnsiTheme="majorHAnsi" w:cs="Arial"/>
        <w:color w:val="808080"/>
        <w:sz w:val="14"/>
        <w:szCs w:val="16"/>
        <w:lang w:val="sv-SE"/>
      </w:rPr>
      <w:t>Sustainable</w:t>
    </w:r>
    <w:proofErr w:type="spellEnd"/>
    <w:r w:rsidRPr="001E0402">
      <w:rPr>
        <w:rFonts w:asciiTheme="majorHAnsi" w:hAnsiTheme="majorHAnsi" w:cs="Arial"/>
        <w:color w:val="808080"/>
        <w:sz w:val="14"/>
        <w:szCs w:val="16"/>
        <w:lang w:val="sv-SE"/>
      </w:rPr>
      <w:t xml:space="preserve"> Healthcare is </w:t>
    </w:r>
    <w:proofErr w:type="spellStart"/>
    <w:r w:rsidRPr="001E0402">
      <w:rPr>
        <w:rFonts w:asciiTheme="majorHAnsi" w:hAnsiTheme="majorHAnsi" w:cs="Arial"/>
        <w:color w:val="808080"/>
        <w:sz w:val="14"/>
        <w:szCs w:val="16"/>
        <w:lang w:val="sv-SE"/>
      </w:rPr>
      <w:t>registered</w:t>
    </w:r>
    <w:proofErr w:type="spellEnd"/>
    <w:r w:rsidRPr="001E0402">
      <w:rPr>
        <w:rFonts w:asciiTheme="majorHAnsi" w:hAnsiTheme="majorHAnsi" w:cs="Arial"/>
        <w:color w:val="808080"/>
        <w:sz w:val="14"/>
        <w:szCs w:val="16"/>
        <w:lang w:val="sv-SE"/>
      </w:rPr>
      <w:t xml:space="preserve"> in England &amp; Wales as a </w:t>
    </w:r>
    <w:proofErr w:type="spellStart"/>
    <w:r w:rsidRPr="001E0402">
      <w:rPr>
        <w:rFonts w:asciiTheme="majorHAnsi" w:hAnsiTheme="majorHAnsi" w:cs="Arial"/>
        <w:color w:val="808080"/>
        <w:sz w:val="14"/>
        <w:szCs w:val="16"/>
        <w:lang w:val="sv-SE"/>
      </w:rPr>
      <w:t>company</w:t>
    </w:r>
    <w:proofErr w:type="spellEnd"/>
    <w:r w:rsidRPr="001E0402">
      <w:rPr>
        <w:rFonts w:asciiTheme="majorHAnsi" w:hAnsiTheme="majorHAnsi" w:cs="Arial"/>
        <w:color w:val="808080"/>
        <w:sz w:val="14"/>
        <w:szCs w:val="16"/>
        <w:lang w:val="sv-SE"/>
      </w:rPr>
      <w:t xml:space="preserve"> </w:t>
    </w:r>
    <w:proofErr w:type="spellStart"/>
    <w:r w:rsidRPr="001E0402">
      <w:rPr>
        <w:rFonts w:asciiTheme="majorHAnsi" w:hAnsiTheme="majorHAnsi" w:cs="Arial"/>
        <w:color w:val="808080"/>
        <w:sz w:val="14"/>
        <w:szCs w:val="16"/>
        <w:lang w:val="sv-SE"/>
      </w:rPr>
      <w:t>limited</w:t>
    </w:r>
    <w:proofErr w:type="spellEnd"/>
    <w:r w:rsidRPr="001E0402">
      <w:rPr>
        <w:rFonts w:asciiTheme="majorHAnsi" w:hAnsiTheme="majorHAnsi" w:cs="Arial"/>
        <w:color w:val="808080"/>
        <w:sz w:val="14"/>
        <w:szCs w:val="16"/>
        <w:lang w:val="sv-SE"/>
      </w:rPr>
      <w:t xml:space="preserve"> by </w:t>
    </w:r>
    <w:proofErr w:type="spellStart"/>
    <w:r w:rsidRPr="001E0402">
      <w:rPr>
        <w:rFonts w:asciiTheme="majorHAnsi" w:hAnsiTheme="majorHAnsi" w:cs="Arial"/>
        <w:color w:val="808080"/>
        <w:sz w:val="14"/>
        <w:szCs w:val="16"/>
        <w:lang w:val="sv-SE"/>
      </w:rPr>
      <w:t>guarantee</w:t>
    </w:r>
    <w:proofErr w:type="spellEnd"/>
    <w:r w:rsidRPr="001E0402">
      <w:rPr>
        <w:rFonts w:asciiTheme="majorHAnsi" w:hAnsiTheme="majorHAnsi" w:cs="Arial"/>
        <w:color w:val="808080"/>
        <w:sz w:val="14"/>
        <w:szCs w:val="16"/>
        <w:lang w:val="sv-SE"/>
      </w:rPr>
      <w:t xml:space="preserve"> </w:t>
    </w:r>
    <w:r w:rsidRPr="001E0402">
      <w:rPr>
        <w:rFonts w:asciiTheme="majorHAnsi" w:hAnsiTheme="majorHAnsi" w:cs="Arial"/>
        <w:color w:val="808080"/>
        <w:sz w:val="14"/>
        <w:szCs w:val="16"/>
        <w:lang w:val="en"/>
      </w:rPr>
      <w:t>No. 7450026 and as a charity No. 1143189. Registered address: 8 King Edward Street, Oxford, OX1 4HL.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7DEA23" w14:textId="77777777" w:rsidR="00423BE5" w:rsidRDefault="00423BE5" w:rsidP="004E1F2B">
      <w:pPr>
        <w:spacing w:after="0" w:line="240" w:lineRule="auto"/>
      </w:pPr>
      <w:r>
        <w:separator/>
      </w:r>
    </w:p>
  </w:footnote>
  <w:footnote w:type="continuationSeparator" w:id="0">
    <w:p w14:paraId="7555A1CF" w14:textId="77777777" w:rsidR="00423BE5" w:rsidRDefault="00423BE5" w:rsidP="004E1F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41D749" w14:textId="28BDD71A" w:rsidR="00423BE5" w:rsidRPr="001E0402" w:rsidRDefault="00423BE5">
    <w:pPr>
      <w:pStyle w:val="Header"/>
      <w:rPr>
        <w:color w:val="7F7F7F" w:themeColor="text1" w:themeTint="80"/>
        <w:sz w:val="20"/>
      </w:rPr>
    </w:pPr>
    <w:r w:rsidRPr="001E0402">
      <w:rPr>
        <w:color w:val="7F7F7F" w:themeColor="text1" w:themeTint="80"/>
        <w:sz w:val="20"/>
      </w:rPr>
      <w:t>Case study: introducing recycling into the operating theatres</w: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C61984" w14:textId="5D8401AA" w:rsidR="00423BE5" w:rsidRDefault="00423BE5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2C40C4E7" wp14:editId="2773F2EB">
          <wp:simplePos x="0" y="0"/>
          <wp:positionH relativeFrom="page">
            <wp:posOffset>4114800</wp:posOffset>
          </wp:positionH>
          <wp:positionV relativeFrom="page">
            <wp:posOffset>581660</wp:posOffset>
          </wp:positionV>
          <wp:extent cx="2684145" cy="1187450"/>
          <wp:effectExtent l="0" t="0" r="8255" b="6350"/>
          <wp:wrapTight wrapText="bothSides">
            <wp:wrapPolygon edited="0">
              <wp:start x="0" y="0"/>
              <wp:lineTo x="0" y="21253"/>
              <wp:lineTo x="21462" y="21253"/>
              <wp:lineTo x="21462" y="0"/>
              <wp:lineTo x="0" y="0"/>
            </wp:wrapPolygon>
          </wp:wrapTight>
          <wp:docPr id="14" name="Picture 1" descr="CSH logo +strap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SH logo +strapline"/>
                  <pic:cNvPicPr>
                    <a:picLocks noChangeAspect="1" noChangeArrowheads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4145" cy="1187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94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94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94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94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005"/>
    <w:multiLevelType w:val="hybridMultilevel"/>
    <w:tmpl w:val="00000005"/>
    <w:lvl w:ilvl="0" w:tplc="00000191">
      <w:start w:val="1"/>
      <w:numFmt w:val="bullet"/>
      <w:lvlText w:val="•"/>
      <w:lvlJc w:val="left"/>
      <w:pPr>
        <w:ind w:left="94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0006"/>
    <w:multiLevelType w:val="hybridMultilevel"/>
    <w:tmpl w:val="00000006"/>
    <w:lvl w:ilvl="0" w:tplc="000001F5">
      <w:start w:val="1"/>
      <w:numFmt w:val="bullet"/>
      <w:lvlText w:val="•"/>
      <w:lvlJc w:val="left"/>
      <w:pPr>
        <w:ind w:left="94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0007"/>
    <w:multiLevelType w:val="hybridMultilevel"/>
    <w:tmpl w:val="00000007"/>
    <w:lvl w:ilvl="0" w:tplc="00000259">
      <w:start w:val="1"/>
      <w:numFmt w:val="bullet"/>
      <w:lvlText w:val="•"/>
      <w:lvlJc w:val="left"/>
      <w:pPr>
        <w:ind w:left="94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0008"/>
    <w:multiLevelType w:val="hybridMultilevel"/>
    <w:tmpl w:val="00000008"/>
    <w:lvl w:ilvl="0" w:tplc="000002BD">
      <w:start w:val="1"/>
      <w:numFmt w:val="bullet"/>
      <w:lvlText w:val="•"/>
      <w:lvlJc w:val="left"/>
      <w:pPr>
        <w:ind w:left="94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13043B60"/>
    <w:multiLevelType w:val="hybridMultilevel"/>
    <w:tmpl w:val="43904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D37C32"/>
    <w:multiLevelType w:val="hybridMultilevel"/>
    <w:tmpl w:val="A028A2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F9940B7"/>
    <w:multiLevelType w:val="hybridMultilevel"/>
    <w:tmpl w:val="19DED592"/>
    <w:lvl w:ilvl="0" w:tplc="A35CAEA2">
      <w:start w:val="1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1">
    <w:nsid w:val="38A70AFB"/>
    <w:multiLevelType w:val="hybridMultilevel"/>
    <w:tmpl w:val="C5B8D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E229D4"/>
    <w:multiLevelType w:val="hybridMultilevel"/>
    <w:tmpl w:val="ECA89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591656"/>
    <w:multiLevelType w:val="hybridMultilevel"/>
    <w:tmpl w:val="77F0BE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737A52"/>
    <w:multiLevelType w:val="hybridMultilevel"/>
    <w:tmpl w:val="E2265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1938CF"/>
    <w:multiLevelType w:val="hybridMultilevel"/>
    <w:tmpl w:val="201C347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F616339"/>
    <w:multiLevelType w:val="hybridMultilevel"/>
    <w:tmpl w:val="62106ADA"/>
    <w:lvl w:ilvl="0" w:tplc="FF68FB34">
      <w:numFmt w:val="bullet"/>
      <w:lvlText w:val="-"/>
      <w:lvlJc w:val="left"/>
      <w:pPr>
        <w:ind w:left="1041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176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1" w:hanging="360"/>
      </w:pPr>
      <w:rPr>
        <w:rFonts w:ascii="Wingdings" w:hAnsi="Wingdings" w:hint="default"/>
      </w:rPr>
    </w:lvl>
  </w:abstractNum>
  <w:abstractNum w:abstractNumId="17">
    <w:nsid w:val="625B7986"/>
    <w:multiLevelType w:val="hybridMultilevel"/>
    <w:tmpl w:val="A3BCF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3B5AD0"/>
    <w:multiLevelType w:val="hybridMultilevel"/>
    <w:tmpl w:val="5588C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B04B4D"/>
    <w:multiLevelType w:val="hybridMultilevel"/>
    <w:tmpl w:val="5072A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FD71D35"/>
    <w:multiLevelType w:val="hybridMultilevel"/>
    <w:tmpl w:val="654A5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1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6"/>
  </w:num>
  <w:num w:numId="12">
    <w:abstractNumId w:val="7"/>
  </w:num>
  <w:num w:numId="13">
    <w:abstractNumId w:val="10"/>
  </w:num>
  <w:num w:numId="14">
    <w:abstractNumId w:val="14"/>
  </w:num>
  <w:num w:numId="15">
    <w:abstractNumId w:val="16"/>
  </w:num>
  <w:num w:numId="16">
    <w:abstractNumId w:val="13"/>
  </w:num>
  <w:num w:numId="17">
    <w:abstractNumId w:val="19"/>
  </w:num>
  <w:num w:numId="18">
    <w:abstractNumId w:val="20"/>
  </w:num>
  <w:num w:numId="19">
    <w:abstractNumId w:val="18"/>
  </w:num>
  <w:num w:numId="20">
    <w:abstractNumId w:val="15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36C"/>
    <w:rsid w:val="000036B1"/>
    <w:rsid w:val="00017069"/>
    <w:rsid w:val="000267D0"/>
    <w:rsid w:val="00043308"/>
    <w:rsid w:val="000A01D0"/>
    <w:rsid w:val="000A5F5C"/>
    <w:rsid w:val="000B50CE"/>
    <w:rsid w:val="000D6A1D"/>
    <w:rsid w:val="000D78BE"/>
    <w:rsid w:val="000F0E5E"/>
    <w:rsid w:val="0011131E"/>
    <w:rsid w:val="00175ABD"/>
    <w:rsid w:val="001A1BE3"/>
    <w:rsid w:val="001D5216"/>
    <w:rsid w:val="001D7130"/>
    <w:rsid w:val="001E0402"/>
    <w:rsid w:val="002071AC"/>
    <w:rsid w:val="00244591"/>
    <w:rsid w:val="00276B21"/>
    <w:rsid w:val="002918D8"/>
    <w:rsid w:val="002B0046"/>
    <w:rsid w:val="00304278"/>
    <w:rsid w:val="00305DB1"/>
    <w:rsid w:val="00313117"/>
    <w:rsid w:val="00363CF7"/>
    <w:rsid w:val="0038170E"/>
    <w:rsid w:val="003D4591"/>
    <w:rsid w:val="003E4016"/>
    <w:rsid w:val="003E493B"/>
    <w:rsid w:val="00423BE5"/>
    <w:rsid w:val="00425B04"/>
    <w:rsid w:val="00445FA9"/>
    <w:rsid w:val="00474603"/>
    <w:rsid w:val="00481B10"/>
    <w:rsid w:val="004E1F2B"/>
    <w:rsid w:val="00511C75"/>
    <w:rsid w:val="005513E6"/>
    <w:rsid w:val="005970C7"/>
    <w:rsid w:val="005C13E8"/>
    <w:rsid w:val="005F6FAA"/>
    <w:rsid w:val="00614AE5"/>
    <w:rsid w:val="006239C1"/>
    <w:rsid w:val="006D40DA"/>
    <w:rsid w:val="006F6851"/>
    <w:rsid w:val="006F73CA"/>
    <w:rsid w:val="007135CD"/>
    <w:rsid w:val="00734AB4"/>
    <w:rsid w:val="007726DB"/>
    <w:rsid w:val="00793C85"/>
    <w:rsid w:val="007F2EE2"/>
    <w:rsid w:val="00804CC4"/>
    <w:rsid w:val="00833DC3"/>
    <w:rsid w:val="00852F30"/>
    <w:rsid w:val="00886F2F"/>
    <w:rsid w:val="008A1C2D"/>
    <w:rsid w:val="008B071F"/>
    <w:rsid w:val="008B4AA9"/>
    <w:rsid w:val="00903C5A"/>
    <w:rsid w:val="009B265C"/>
    <w:rsid w:val="009E2006"/>
    <w:rsid w:val="00A00C9D"/>
    <w:rsid w:val="00A16357"/>
    <w:rsid w:val="00A30B3D"/>
    <w:rsid w:val="00A33AED"/>
    <w:rsid w:val="00A37653"/>
    <w:rsid w:val="00AF3047"/>
    <w:rsid w:val="00B907E2"/>
    <w:rsid w:val="00B9401C"/>
    <w:rsid w:val="00BA38EB"/>
    <w:rsid w:val="00BC0C7B"/>
    <w:rsid w:val="00C34028"/>
    <w:rsid w:val="00C6136C"/>
    <w:rsid w:val="00C627CB"/>
    <w:rsid w:val="00CA7A92"/>
    <w:rsid w:val="00CB15A9"/>
    <w:rsid w:val="00CC5161"/>
    <w:rsid w:val="00CF5154"/>
    <w:rsid w:val="00D00B7D"/>
    <w:rsid w:val="00D8558C"/>
    <w:rsid w:val="00DA29F6"/>
    <w:rsid w:val="00DA652E"/>
    <w:rsid w:val="00DC13FE"/>
    <w:rsid w:val="00E01D0D"/>
    <w:rsid w:val="00E47BCF"/>
    <w:rsid w:val="00E54648"/>
    <w:rsid w:val="00E62C04"/>
    <w:rsid w:val="00E91C43"/>
    <w:rsid w:val="00EA0F61"/>
    <w:rsid w:val="00EA3D78"/>
    <w:rsid w:val="00EB6F11"/>
    <w:rsid w:val="00EC4A25"/>
    <w:rsid w:val="00EE6F85"/>
    <w:rsid w:val="00F10965"/>
    <w:rsid w:val="00F16ECA"/>
    <w:rsid w:val="00F303B7"/>
    <w:rsid w:val="00F458A7"/>
    <w:rsid w:val="00F579B3"/>
    <w:rsid w:val="00F61FBD"/>
    <w:rsid w:val="00F6773E"/>
    <w:rsid w:val="00FA4170"/>
    <w:rsid w:val="00FF4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DDA17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6136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A30B3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0B3D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0B3D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0B3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0B3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0B3D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0B3D"/>
    <w:rPr>
      <w:rFonts w:ascii="Lucida Grande" w:hAnsi="Lucida Grande"/>
      <w:sz w:val="18"/>
      <w:szCs w:val="18"/>
    </w:rPr>
  </w:style>
  <w:style w:type="paragraph" w:styleId="FootnoteText">
    <w:name w:val="footnote text"/>
    <w:basedOn w:val="Normal"/>
    <w:link w:val="FootnoteTextChar"/>
    <w:rsid w:val="004E1F2B"/>
    <w:rPr>
      <w:rFonts w:ascii="Calibri" w:eastAsia="Calibri" w:hAnsi="Calibri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rsid w:val="004E1F2B"/>
    <w:rPr>
      <w:rFonts w:ascii="Calibri" w:eastAsia="Calibri" w:hAnsi="Calibri" w:cs="Times New Roman"/>
      <w:sz w:val="24"/>
      <w:szCs w:val="24"/>
    </w:rPr>
  </w:style>
  <w:style w:type="character" w:styleId="FootnoteReference">
    <w:name w:val="footnote reference"/>
    <w:rsid w:val="004E1F2B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3E493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493B"/>
  </w:style>
  <w:style w:type="paragraph" w:styleId="Footer">
    <w:name w:val="footer"/>
    <w:basedOn w:val="Normal"/>
    <w:link w:val="FooterChar"/>
    <w:unhideWhenUsed/>
    <w:rsid w:val="003E493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E493B"/>
  </w:style>
  <w:style w:type="character" w:styleId="Hyperlink">
    <w:name w:val="Hyperlink"/>
    <w:basedOn w:val="DefaultParagraphFont"/>
    <w:uiPriority w:val="99"/>
    <w:unhideWhenUsed/>
    <w:rsid w:val="00852F30"/>
    <w:rPr>
      <w:color w:val="0000FF" w:themeColor="hyperlink"/>
      <w:u w:val="single"/>
    </w:rPr>
  </w:style>
  <w:style w:type="paragraph" w:customStyle="1" w:styleId="Default">
    <w:name w:val="Default"/>
    <w:rsid w:val="00DA652E"/>
    <w:pPr>
      <w:autoSpaceDE w:val="0"/>
      <w:autoSpaceDN w:val="0"/>
      <w:adjustRightInd w:val="0"/>
      <w:spacing w:after="0" w:line="240" w:lineRule="auto"/>
    </w:pPr>
    <w:rPr>
      <w:rFonts w:ascii="Trajan Pro" w:eastAsia="Calibri" w:hAnsi="Trajan Pro" w:cs="Trajan Pro"/>
      <w:noProof/>
      <w:color w:val="000000"/>
      <w:sz w:val="24"/>
      <w:szCs w:val="24"/>
    </w:rPr>
  </w:style>
  <w:style w:type="paragraph" w:customStyle="1" w:styleId="Pa0">
    <w:name w:val="Pa0"/>
    <w:basedOn w:val="Default"/>
    <w:next w:val="Default"/>
    <w:rsid w:val="00DA652E"/>
    <w:pPr>
      <w:spacing w:line="241" w:lineRule="atLeast"/>
    </w:pPr>
    <w:rPr>
      <w:rFonts w:cs="Times New Roman"/>
      <w:color w:val="auto"/>
    </w:rPr>
  </w:style>
  <w:style w:type="character" w:customStyle="1" w:styleId="A1">
    <w:name w:val="A1"/>
    <w:rsid w:val="00DA652E"/>
    <w:rPr>
      <w:rFonts w:ascii="GillSans Light" w:hAnsi="GillSans Light" w:cs="GillSans Light"/>
      <w:color w:val="000000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1E0402"/>
  </w:style>
  <w:style w:type="paragraph" w:styleId="ListParagraph">
    <w:name w:val="List Paragraph"/>
    <w:basedOn w:val="Normal"/>
    <w:uiPriority w:val="34"/>
    <w:qFormat/>
    <w:rsid w:val="001E040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33DC3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833DC3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3E401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6136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A30B3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0B3D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0B3D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0B3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0B3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0B3D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0B3D"/>
    <w:rPr>
      <w:rFonts w:ascii="Lucida Grande" w:hAnsi="Lucida Grande"/>
      <w:sz w:val="18"/>
      <w:szCs w:val="18"/>
    </w:rPr>
  </w:style>
  <w:style w:type="paragraph" w:styleId="FootnoteText">
    <w:name w:val="footnote text"/>
    <w:basedOn w:val="Normal"/>
    <w:link w:val="FootnoteTextChar"/>
    <w:rsid w:val="004E1F2B"/>
    <w:rPr>
      <w:rFonts w:ascii="Calibri" w:eastAsia="Calibri" w:hAnsi="Calibri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rsid w:val="004E1F2B"/>
    <w:rPr>
      <w:rFonts w:ascii="Calibri" w:eastAsia="Calibri" w:hAnsi="Calibri" w:cs="Times New Roman"/>
      <w:sz w:val="24"/>
      <w:szCs w:val="24"/>
    </w:rPr>
  </w:style>
  <w:style w:type="character" w:styleId="FootnoteReference">
    <w:name w:val="footnote reference"/>
    <w:rsid w:val="004E1F2B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3E493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493B"/>
  </w:style>
  <w:style w:type="paragraph" w:styleId="Footer">
    <w:name w:val="footer"/>
    <w:basedOn w:val="Normal"/>
    <w:link w:val="FooterChar"/>
    <w:unhideWhenUsed/>
    <w:rsid w:val="003E493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E493B"/>
  </w:style>
  <w:style w:type="character" w:styleId="Hyperlink">
    <w:name w:val="Hyperlink"/>
    <w:basedOn w:val="DefaultParagraphFont"/>
    <w:uiPriority w:val="99"/>
    <w:unhideWhenUsed/>
    <w:rsid w:val="00852F30"/>
    <w:rPr>
      <w:color w:val="0000FF" w:themeColor="hyperlink"/>
      <w:u w:val="single"/>
    </w:rPr>
  </w:style>
  <w:style w:type="paragraph" w:customStyle="1" w:styleId="Default">
    <w:name w:val="Default"/>
    <w:rsid w:val="00DA652E"/>
    <w:pPr>
      <w:autoSpaceDE w:val="0"/>
      <w:autoSpaceDN w:val="0"/>
      <w:adjustRightInd w:val="0"/>
      <w:spacing w:after="0" w:line="240" w:lineRule="auto"/>
    </w:pPr>
    <w:rPr>
      <w:rFonts w:ascii="Trajan Pro" w:eastAsia="Calibri" w:hAnsi="Trajan Pro" w:cs="Trajan Pro"/>
      <w:noProof/>
      <w:color w:val="000000"/>
      <w:sz w:val="24"/>
      <w:szCs w:val="24"/>
    </w:rPr>
  </w:style>
  <w:style w:type="paragraph" w:customStyle="1" w:styleId="Pa0">
    <w:name w:val="Pa0"/>
    <w:basedOn w:val="Default"/>
    <w:next w:val="Default"/>
    <w:rsid w:val="00DA652E"/>
    <w:pPr>
      <w:spacing w:line="241" w:lineRule="atLeast"/>
    </w:pPr>
    <w:rPr>
      <w:rFonts w:cs="Times New Roman"/>
      <w:color w:val="auto"/>
    </w:rPr>
  </w:style>
  <w:style w:type="character" w:customStyle="1" w:styleId="A1">
    <w:name w:val="A1"/>
    <w:rsid w:val="00DA652E"/>
    <w:rPr>
      <w:rFonts w:ascii="GillSans Light" w:hAnsi="GillSans Light" w:cs="GillSans Light"/>
      <w:color w:val="000000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1E0402"/>
  </w:style>
  <w:style w:type="paragraph" w:styleId="ListParagraph">
    <w:name w:val="List Paragraph"/>
    <w:basedOn w:val="Normal"/>
    <w:uiPriority w:val="34"/>
    <w:qFormat/>
    <w:rsid w:val="001E040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33DC3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833DC3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3E401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2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header" Target="header2.xml"/><Relationship Id="rId14" Type="http://schemas.openxmlformats.org/officeDocument/2006/relationships/footer" Target="footer2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frances.mortimer@sustainablehealthcare.org.uk" TargetMode="External"/><Relationship Id="rId10" Type="http://schemas.openxmlformats.org/officeDocument/2006/relationships/hyperlink" Target="http://sustainablehealthcare.org.uk/green-nephrology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FC6C6CA-FB08-C048-8330-E7EAE70F3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704</Words>
  <Characters>4014</Characters>
  <Application>Microsoft Macintosh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Felicity</dc:creator>
  <cp:lastModifiedBy>Frances Mortimer</cp:lastModifiedBy>
  <cp:revision>3</cp:revision>
  <cp:lastPrinted>2012-05-03T10:40:00Z</cp:lastPrinted>
  <dcterms:created xsi:type="dcterms:W3CDTF">2012-05-06T11:01:00Z</dcterms:created>
  <dcterms:modified xsi:type="dcterms:W3CDTF">2012-05-06T11:06:00Z</dcterms:modified>
</cp:coreProperties>
</file>